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2BF84B7D" w:rsidR="005E7182" w:rsidRPr="00B036E0" w:rsidRDefault="007301D9" w:rsidP="572F0BC0">
      <w:pPr>
        <w:pStyle w:val="Header"/>
        <w:tabs>
          <w:tab w:val="right" w:pos="9639"/>
        </w:tabs>
        <w:rPr>
          <w:noProof w:val="0"/>
          <w:sz w:val="24"/>
          <w:szCs w:val="24"/>
        </w:rPr>
      </w:pPr>
      <w:bookmarkStart w:id="0" w:name="_Hlk37418177"/>
      <w:bookmarkStart w:id="1" w:name="_Hlk148433929"/>
      <w:r w:rsidRPr="00B036E0">
        <w:rPr>
          <w:noProof w:val="0"/>
          <w:sz w:val="24"/>
          <w:szCs w:val="24"/>
        </w:rPr>
        <w:t>3GPP TSG RAN WG1 #12</w:t>
      </w:r>
      <w:r w:rsidR="002F64AC" w:rsidRPr="00B036E0">
        <w:rPr>
          <w:noProof w:val="0"/>
          <w:sz w:val="24"/>
          <w:szCs w:val="24"/>
        </w:rPr>
        <w:t>3</w:t>
      </w:r>
      <w:r w:rsidR="005E7182" w:rsidRPr="00B036E0">
        <w:tab/>
      </w:r>
      <w:r w:rsidR="00933F54" w:rsidRPr="00B036E0">
        <w:rPr>
          <w:noProof w:val="0"/>
          <w:sz w:val="24"/>
          <w:szCs w:val="24"/>
        </w:rPr>
        <w:t>R1-</w:t>
      </w:r>
      <w:r w:rsidR="00DA3882" w:rsidRPr="00B036E0">
        <w:rPr>
          <w:noProof w:val="0"/>
          <w:sz w:val="24"/>
          <w:szCs w:val="24"/>
        </w:rPr>
        <w:t>250</w:t>
      </w:r>
      <w:r w:rsidR="002F4082" w:rsidRPr="00B036E0">
        <w:rPr>
          <w:noProof w:val="0"/>
          <w:sz w:val="24"/>
          <w:szCs w:val="24"/>
        </w:rPr>
        <w:t>9013</w:t>
      </w:r>
      <w:bookmarkEnd w:id="0"/>
      <w:bookmarkEnd w:id="1"/>
    </w:p>
    <w:p w14:paraId="15E3FFA6" w14:textId="24E51A13" w:rsidR="1F0187D4" w:rsidRPr="00B036E0" w:rsidRDefault="00C064DD" w:rsidP="572F0BC0">
      <w:pPr>
        <w:pStyle w:val="Header"/>
        <w:rPr>
          <w:noProof w:val="0"/>
          <w:sz w:val="24"/>
          <w:szCs w:val="24"/>
        </w:rPr>
      </w:pPr>
      <w:r w:rsidRPr="00B036E0">
        <w:rPr>
          <w:noProof w:val="0"/>
          <w:sz w:val="24"/>
          <w:szCs w:val="24"/>
        </w:rPr>
        <w:t>Dallas, USA, Nov 17th – 21st, 2025</w:t>
      </w:r>
    </w:p>
    <w:p w14:paraId="376911AE" w14:textId="77777777" w:rsidR="00773C9C" w:rsidRPr="00B036E0" w:rsidRDefault="00773C9C" w:rsidP="16512788">
      <w:pPr>
        <w:pStyle w:val="CRCoverPage"/>
        <w:rPr>
          <w:rStyle w:val="eop"/>
          <w:rFonts w:cs="Arial"/>
          <w:b/>
          <w:bCs/>
          <w:color w:val="000000"/>
          <w:shd w:val="clear" w:color="auto" w:fill="FFFFFF"/>
          <w:lang w:val="en-US"/>
        </w:rPr>
      </w:pPr>
    </w:p>
    <w:p w14:paraId="30E02941" w14:textId="1C0E3C6C" w:rsidR="0034111C" w:rsidRPr="00B036E0" w:rsidRDefault="0034111C" w:rsidP="572F0BC0">
      <w:pPr>
        <w:pStyle w:val="CRCoverPage"/>
        <w:rPr>
          <w:rFonts w:cs="Arial"/>
          <w:b/>
          <w:bCs/>
          <w:sz w:val="24"/>
          <w:szCs w:val="24"/>
          <w:lang w:val="en-US"/>
        </w:rPr>
      </w:pPr>
      <w:r w:rsidRPr="00B036E0">
        <w:rPr>
          <w:rFonts w:cs="Arial"/>
          <w:b/>
          <w:bCs/>
          <w:sz w:val="24"/>
          <w:szCs w:val="24"/>
          <w:lang w:val="en-US"/>
        </w:rPr>
        <w:t>Agenda item</w:t>
      </w:r>
      <w:proofErr w:type="gramStart"/>
      <w:r w:rsidRPr="00B036E0">
        <w:rPr>
          <w:rFonts w:cs="Arial"/>
          <w:b/>
          <w:bCs/>
          <w:sz w:val="24"/>
          <w:szCs w:val="24"/>
          <w:lang w:val="en-US"/>
        </w:rPr>
        <w:t>:</w:t>
      </w:r>
      <w:r w:rsidRPr="00B036E0">
        <w:rPr>
          <w:sz w:val="24"/>
          <w:szCs w:val="24"/>
          <w:lang w:val="en-US"/>
        </w:rPr>
        <w:tab/>
      </w:r>
      <w:r w:rsidRPr="00B036E0">
        <w:rPr>
          <w:sz w:val="24"/>
          <w:szCs w:val="24"/>
          <w:lang w:val="en-US"/>
        </w:rPr>
        <w:tab/>
      </w:r>
      <w:r w:rsidR="6EE1DA4D" w:rsidRPr="00B036E0">
        <w:rPr>
          <w:rFonts w:cs="Arial"/>
          <w:b/>
          <w:bCs/>
          <w:sz w:val="24"/>
          <w:szCs w:val="24"/>
          <w:lang w:val="en-US"/>
        </w:rPr>
        <w:t>11.</w:t>
      </w:r>
      <w:r w:rsidR="001518B7" w:rsidRPr="00B036E0">
        <w:rPr>
          <w:rFonts w:cs="Arial"/>
          <w:b/>
          <w:bCs/>
          <w:sz w:val="24"/>
          <w:szCs w:val="24"/>
          <w:lang w:val="en-US"/>
        </w:rPr>
        <w:t>1</w:t>
      </w:r>
      <w:proofErr w:type="gramEnd"/>
    </w:p>
    <w:p w14:paraId="30E02942" w14:textId="45BFF1E2" w:rsidR="00E128F2" w:rsidRPr="00B036E0" w:rsidRDefault="0034111C" w:rsidP="004D4C1C">
      <w:pPr>
        <w:pStyle w:val="CRCoverPage"/>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p>
    <w:p w14:paraId="30E02943" w14:textId="6B3CC8D5" w:rsidR="0034111C" w:rsidRPr="00B036E0" w:rsidRDefault="0034111C" w:rsidP="004D4C1C">
      <w:pPr>
        <w:pStyle w:val="CRCoverPage"/>
        <w:rPr>
          <w:rFonts w:cs="Arial"/>
          <w:b/>
          <w:bCs/>
          <w:sz w:val="24"/>
          <w:szCs w:val="24"/>
          <w:lang w:val="en-US"/>
        </w:rPr>
      </w:pPr>
      <w:r w:rsidRPr="00B036E0">
        <w:rPr>
          <w:rFonts w:cs="Arial"/>
          <w:b/>
          <w:bCs/>
          <w:sz w:val="24"/>
          <w:szCs w:val="24"/>
          <w:lang w:val="en-US"/>
        </w:rPr>
        <w:t>Title: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r w:rsidR="15EA0DF1" w:rsidRPr="00B036E0">
        <w:rPr>
          <w:rFonts w:cs="Arial"/>
          <w:b/>
          <w:bCs/>
          <w:sz w:val="24"/>
          <w:szCs w:val="24"/>
          <w:lang w:val="en-US"/>
        </w:rPr>
        <w:t xml:space="preserve"> Views on 6G Radio Air Interface</w:t>
      </w:r>
    </w:p>
    <w:p w14:paraId="30E02944" w14:textId="471980A4" w:rsidR="0034111C" w:rsidRPr="00B036E0" w:rsidRDefault="0034111C" w:rsidP="004D4C1C">
      <w:pPr>
        <w:pStyle w:val="CRCoverPage"/>
        <w:rPr>
          <w:rFonts w:cs="Arial"/>
          <w:b/>
          <w:bCs/>
          <w:sz w:val="24"/>
          <w:szCs w:val="24"/>
          <w:lang w:val="en-US"/>
        </w:rPr>
      </w:pPr>
      <w:r w:rsidRPr="00B036E0">
        <w:rPr>
          <w:rFonts w:cs="Arial"/>
          <w:b/>
          <w:bCs/>
          <w:sz w:val="24"/>
          <w:szCs w:val="24"/>
          <w:lang w:val="en-US"/>
        </w:rPr>
        <w:t xml:space="preserve">Document </w:t>
      </w:r>
      <w:r w:rsidR="3E61DC49" w:rsidRPr="00B036E0">
        <w:rPr>
          <w:rFonts w:cs="Arial"/>
          <w:b/>
          <w:bCs/>
          <w:sz w:val="24"/>
          <w:szCs w:val="24"/>
          <w:lang w:val="en-US"/>
        </w:rPr>
        <w:t>for</w:t>
      </w:r>
      <w:proofErr w:type="gramStart"/>
      <w:r w:rsidR="3E61DC49" w:rsidRPr="00B036E0">
        <w:rPr>
          <w:rFonts w:cs="Arial"/>
          <w:b/>
          <w:bCs/>
          <w:sz w:val="24"/>
          <w:szCs w:val="24"/>
          <w:lang w:val="en-US"/>
        </w:rPr>
        <w:t>:</w:t>
      </w:r>
      <w:r w:rsidRPr="00B036E0">
        <w:rPr>
          <w:rFonts w:cs="Arial"/>
          <w:b/>
          <w:sz w:val="24"/>
          <w:lang w:val="en-US"/>
        </w:rPr>
        <w:tab/>
      </w:r>
      <w:r w:rsidR="00220615" w:rsidRPr="00B036E0">
        <w:rPr>
          <w:rFonts w:cs="Arial"/>
          <w:b/>
          <w:sz w:val="24"/>
          <w:lang w:val="en-US"/>
        </w:rPr>
        <w:tab/>
      </w:r>
      <w:r w:rsidRPr="00B036E0">
        <w:rPr>
          <w:rFonts w:cs="Arial"/>
          <w:b/>
          <w:bCs/>
          <w:sz w:val="24"/>
          <w:szCs w:val="24"/>
          <w:lang w:val="en-US"/>
        </w:rPr>
        <w:t>Discussion</w:t>
      </w:r>
      <w:proofErr w:type="gramEnd"/>
      <w:r w:rsidRPr="00B036E0">
        <w:rPr>
          <w:rFonts w:cs="Arial"/>
          <w:b/>
          <w:bCs/>
          <w:sz w:val="24"/>
          <w:szCs w:val="24"/>
          <w:lang w:val="en-US"/>
        </w:rPr>
        <w:t xml:space="preserve"> and Decision</w:t>
      </w:r>
    </w:p>
    <w:p w14:paraId="7CF7938E" w14:textId="633C7172" w:rsidR="00ED1327" w:rsidRPr="00B036E0" w:rsidRDefault="00EE7FA7" w:rsidP="00090989">
      <w:pPr>
        <w:pStyle w:val="Heading1"/>
        <w:rPr>
          <w:lang w:val="en-US"/>
        </w:rPr>
      </w:pPr>
      <w:bookmarkStart w:id="2" w:name="_Toc206169992"/>
      <w:bookmarkStart w:id="3" w:name="_Toc206170538"/>
      <w:bookmarkStart w:id="4" w:name="_Toc213409710"/>
      <w:r w:rsidRPr="00B036E0">
        <w:rPr>
          <w:lang w:val="en-US"/>
        </w:rPr>
        <w:t>Introduction</w:t>
      </w:r>
      <w:bookmarkEnd w:id="2"/>
      <w:bookmarkEnd w:id="3"/>
      <w:bookmarkEnd w:id="4"/>
    </w:p>
    <w:p w14:paraId="33DEA907" w14:textId="62E49CA6" w:rsidR="009D79A9" w:rsidRPr="00B036E0" w:rsidRDefault="00724F3E" w:rsidP="009D79A9">
      <w:pPr>
        <w:rPr>
          <w:lang w:val="en-US"/>
        </w:rPr>
      </w:pPr>
      <w:r w:rsidRPr="00B036E0">
        <w:rPr>
          <w:lang w:val="en-US"/>
        </w:rPr>
        <w:t>In this contribution, w</w:t>
      </w:r>
      <w:r w:rsidR="009D79A9" w:rsidRPr="00B036E0">
        <w:rPr>
          <w:lang w:val="en-US"/>
        </w:rPr>
        <w:t xml:space="preserve">e present our perspectives on the 6G Air Interface, with emphasis on the relevant aspects discussed during the ongoing study. </w:t>
      </w:r>
      <w:r w:rsidR="009D79A9" w:rsidRPr="00B036E0" w:rsidDel="00750DF4">
        <w:rPr>
          <w:lang w:val="en-US"/>
        </w:rPr>
        <w:t>This paper is organized as follows:</w:t>
      </w:r>
    </w:p>
    <w:sdt>
      <w:sdtPr>
        <w:rPr>
          <w:noProof w:val="0"/>
          <w:sz w:val="20"/>
        </w:rPr>
        <w:id w:val="-831365950"/>
        <w:docPartObj>
          <w:docPartGallery w:val="Table of Contents"/>
          <w:docPartUnique/>
        </w:docPartObj>
      </w:sdtPr>
      <w:sdtEndPr>
        <w:rPr>
          <w:b/>
          <w:bCs/>
        </w:rPr>
      </w:sdtEndPr>
      <w:sdtContent>
        <w:p w14:paraId="40722135" w14:textId="4EE20733" w:rsidR="00A04255" w:rsidRDefault="0023693C">
          <w:pPr>
            <w:pStyle w:val="TOC1"/>
            <w:rPr>
              <w:rFonts w:asciiTheme="minorHAnsi" w:eastAsiaTheme="minorEastAsia" w:hAnsiTheme="minorHAnsi" w:cstheme="minorBidi"/>
              <w:kern w:val="2"/>
              <w:sz w:val="24"/>
              <w:szCs w:val="24"/>
              <w14:ligatures w14:val="standardContextual"/>
            </w:rPr>
          </w:pPr>
          <w:r w:rsidRPr="00B036E0">
            <w:rPr>
              <w:sz w:val="20"/>
            </w:rPr>
            <w:fldChar w:fldCharType="begin"/>
          </w:r>
          <w:r w:rsidRPr="00B036E0">
            <w:rPr>
              <w:sz w:val="20"/>
            </w:rPr>
            <w:instrText xml:space="preserve"> TOC \o "1-3" \h \z \u </w:instrText>
          </w:r>
          <w:r w:rsidRPr="00B036E0">
            <w:rPr>
              <w:sz w:val="20"/>
            </w:rPr>
            <w:fldChar w:fldCharType="separate"/>
          </w:r>
          <w:hyperlink w:anchor="_Toc213409710" w:history="1">
            <w:r w:rsidR="00A04255" w:rsidRPr="00A41457">
              <w:rPr>
                <w:rStyle w:val="Hyperlink"/>
              </w:rPr>
              <w:t>1</w:t>
            </w:r>
            <w:r w:rsidR="00A04255">
              <w:rPr>
                <w:rFonts w:asciiTheme="minorHAnsi" w:eastAsiaTheme="minorEastAsia" w:hAnsiTheme="minorHAnsi" w:cstheme="minorBidi"/>
                <w:kern w:val="2"/>
                <w:sz w:val="24"/>
                <w:szCs w:val="24"/>
                <w14:ligatures w14:val="standardContextual"/>
              </w:rPr>
              <w:tab/>
            </w:r>
            <w:r w:rsidR="00A04255" w:rsidRPr="00A41457">
              <w:rPr>
                <w:rStyle w:val="Hyperlink"/>
              </w:rPr>
              <w:t>Introduction</w:t>
            </w:r>
            <w:r w:rsidR="00A04255">
              <w:rPr>
                <w:webHidden/>
              </w:rPr>
              <w:tab/>
            </w:r>
            <w:r w:rsidR="00A04255">
              <w:rPr>
                <w:webHidden/>
              </w:rPr>
              <w:fldChar w:fldCharType="begin"/>
            </w:r>
            <w:r w:rsidR="00A04255">
              <w:rPr>
                <w:webHidden/>
              </w:rPr>
              <w:instrText xml:space="preserve"> PAGEREF _Toc213409710 \h </w:instrText>
            </w:r>
            <w:r w:rsidR="00A04255">
              <w:rPr>
                <w:webHidden/>
              </w:rPr>
            </w:r>
            <w:r w:rsidR="00A04255">
              <w:rPr>
                <w:webHidden/>
              </w:rPr>
              <w:fldChar w:fldCharType="separate"/>
            </w:r>
            <w:r w:rsidR="00A04255">
              <w:rPr>
                <w:webHidden/>
              </w:rPr>
              <w:t>1</w:t>
            </w:r>
            <w:r w:rsidR="00A04255">
              <w:rPr>
                <w:webHidden/>
              </w:rPr>
              <w:fldChar w:fldCharType="end"/>
            </w:r>
          </w:hyperlink>
        </w:p>
        <w:p w14:paraId="7570D3A1" w14:textId="02481F51" w:rsidR="00A04255" w:rsidRDefault="00A04255">
          <w:pPr>
            <w:pStyle w:val="TOC1"/>
            <w:rPr>
              <w:rFonts w:asciiTheme="minorHAnsi" w:eastAsiaTheme="minorEastAsia" w:hAnsiTheme="minorHAnsi" w:cstheme="minorBidi"/>
              <w:kern w:val="2"/>
              <w:sz w:val="24"/>
              <w:szCs w:val="24"/>
              <w14:ligatures w14:val="standardContextual"/>
            </w:rPr>
          </w:pPr>
          <w:hyperlink w:anchor="_Toc213409711" w:history="1">
            <w:r w:rsidRPr="00A41457">
              <w:rPr>
                <w:rStyle w:val="Hyperlink"/>
              </w:rPr>
              <w:t>2</w:t>
            </w:r>
            <w:r>
              <w:rPr>
                <w:rFonts w:asciiTheme="minorHAnsi" w:eastAsiaTheme="minorEastAsia" w:hAnsiTheme="minorHAnsi" w:cstheme="minorBidi"/>
                <w:kern w:val="2"/>
                <w:sz w:val="24"/>
                <w:szCs w:val="24"/>
                <w14:ligatures w14:val="standardContextual"/>
              </w:rPr>
              <w:tab/>
            </w:r>
            <w:r w:rsidRPr="00A41457">
              <w:rPr>
                <w:rStyle w:val="Hyperlink"/>
              </w:rPr>
              <w:t>Overview of 6GR technologies</w:t>
            </w:r>
            <w:r>
              <w:rPr>
                <w:webHidden/>
              </w:rPr>
              <w:tab/>
            </w:r>
            <w:r>
              <w:rPr>
                <w:webHidden/>
              </w:rPr>
              <w:fldChar w:fldCharType="begin"/>
            </w:r>
            <w:r>
              <w:rPr>
                <w:webHidden/>
              </w:rPr>
              <w:instrText xml:space="preserve"> PAGEREF _Toc213409711 \h </w:instrText>
            </w:r>
            <w:r>
              <w:rPr>
                <w:webHidden/>
              </w:rPr>
            </w:r>
            <w:r>
              <w:rPr>
                <w:webHidden/>
              </w:rPr>
              <w:fldChar w:fldCharType="separate"/>
            </w:r>
            <w:r>
              <w:rPr>
                <w:webHidden/>
              </w:rPr>
              <w:t>1</w:t>
            </w:r>
            <w:r>
              <w:rPr>
                <w:webHidden/>
              </w:rPr>
              <w:fldChar w:fldCharType="end"/>
            </w:r>
          </w:hyperlink>
        </w:p>
        <w:p w14:paraId="0473BE7A" w14:textId="4F7F0D71" w:rsidR="00A04255" w:rsidRDefault="00A04255">
          <w:pPr>
            <w:pStyle w:val="TOC2"/>
            <w:rPr>
              <w:rFonts w:asciiTheme="minorHAnsi" w:eastAsiaTheme="minorEastAsia" w:hAnsiTheme="minorHAnsi" w:cstheme="minorBidi"/>
              <w:kern w:val="2"/>
              <w:sz w:val="24"/>
              <w:szCs w:val="24"/>
              <w14:ligatures w14:val="standardContextual"/>
            </w:rPr>
          </w:pPr>
          <w:hyperlink w:anchor="_Toc213409712" w:history="1">
            <w:r w:rsidRPr="00A41457">
              <w:rPr>
                <w:rStyle w:val="Hyperlink"/>
              </w:rPr>
              <w:t>2.1</w:t>
            </w:r>
            <w:r>
              <w:rPr>
                <w:rFonts w:asciiTheme="minorHAnsi" w:eastAsiaTheme="minorEastAsia" w:hAnsiTheme="minorHAnsi" w:cstheme="minorBidi"/>
                <w:kern w:val="2"/>
                <w:sz w:val="24"/>
                <w:szCs w:val="24"/>
                <w14:ligatures w14:val="standardContextual"/>
              </w:rPr>
              <w:tab/>
            </w:r>
            <w:r w:rsidRPr="00A41457">
              <w:rPr>
                <w:rStyle w:val="Hyperlink"/>
              </w:rPr>
              <w:t>Support of Minimum Spectrum Allocation</w:t>
            </w:r>
            <w:r>
              <w:rPr>
                <w:webHidden/>
              </w:rPr>
              <w:tab/>
            </w:r>
            <w:r>
              <w:rPr>
                <w:webHidden/>
              </w:rPr>
              <w:fldChar w:fldCharType="begin"/>
            </w:r>
            <w:r>
              <w:rPr>
                <w:webHidden/>
              </w:rPr>
              <w:instrText xml:space="preserve"> PAGEREF _Toc213409712 \h </w:instrText>
            </w:r>
            <w:r>
              <w:rPr>
                <w:webHidden/>
              </w:rPr>
            </w:r>
            <w:r>
              <w:rPr>
                <w:webHidden/>
              </w:rPr>
              <w:fldChar w:fldCharType="separate"/>
            </w:r>
            <w:r>
              <w:rPr>
                <w:webHidden/>
              </w:rPr>
              <w:t>1</w:t>
            </w:r>
            <w:r>
              <w:rPr>
                <w:webHidden/>
              </w:rPr>
              <w:fldChar w:fldCharType="end"/>
            </w:r>
          </w:hyperlink>
        </w:p>
        <w:p w14:paraId="675F12E1" w14:textId="4D1BC1B4" w:rsidR="00A04255" w:rsidRDefault="00A04255">
          <w:pPr>
            <w:pStyle w:val="TOC2"/>
            <w:rPr>
              <w:rFonts w:asciiTheme="minorHAnsi" w:eastAsiaTheme="minorEastAsia" w:hAnsiTheme="minorHAnsi" w:cstheme="minorBidi"/>
              <w:kern w:val="2"/>
              <w:sz w:val="24"/>
              <w:szCs w:val="24"/>
              <w14:ligatures w14:val="standardContextual"/>
            </w:rPr>
          </w:pPr>
          <w:hyperlink w:anchor="_Toc213409713" w:history="1">
            <w:r w:rsidRPr="00A41457">
              <w:rPr>
                <w:rStyle w:val="Hyperlink"/>
              </w:rPr>
              <w:t>2.2</w:t>
            </w:r>
            <w:r>
              <w:rPr>
                <w:rFonts w:asciiTheme="minorHAnsi" w:eastAsiaTheme="minorEastAsia" w:hAnsiTheme="minorHAnsi" w:cstheme="minorBidi"/>
                <w:kern w:val="2"/>
                <w:sz w:val="24"/>
                <w:szCs w:val="24"/>
                <w14:ligatures w14:val="standardContextual"/>
              </w:rPr>
              <w:tab/>
            </w:r>
            <w:r w:rsidRPr="00A41457">
              <w:rPr>
                <w:rStyle w:val="Hyperlink"/>
              </w:rPr>
              <w:t>Synchronization Signal Structure and Initial Access</w:t>
            </w:r>
            <w:r>
              <w:rPr>
                <w:webHidden/>
              </w:rPr>
              <w:tab/>
            </w:r>
            <w:r>
              <w:rPr>
                <w:webHidden/>
              </w:rPr>
              <w:fldChar w:fldCharType="begin"/>
            </w:r>
            <w:r>
              <w:rPr>
                <w:webHidden/>
              </w:rPr>
              <w:instrText xml:space="preserve"> PAGEREF _Toc213409713 \h </w:instrText>
            </w:r>
            <w:r>
              <w:rPr>
                <w:webHidden/>
              </w:rPr>
            </w:r>
            <w:r>
              <w:rPr>
                <w:webHidden/>
              </w:rPr>
              <w:fldChar w:fldCharType="separate"/>
            </w:r>
            <w:r>
              <w:rPr>
                <w:webHidden/>
              </w:rPr>
              <w:t>2</w:t>
            </w:r>
            <w:r>
              <w:rPr>
                <w:webHidden/>
              </w:rPr>
              <w:fldChar w:fldCharType="end"/>
            </w:r>
          </w:hyperlink>
        </w:p>
        <w:p w14:paraId="4564234B" w14:textId="6A6E8A5C" w:rsidR="00A04255" w:rsidRDefault="00A04255">
          <w:pPr>
            <w:pStyle w:val="TOC2"/>
            <w:rPr>
              <w:rFonts w:asciiTheme="minorHAnsi" w:eastAsiaTheme="minorEastAsia" w:hAnsiTheme="minorHAnsi" w:cstheme="minorBidi"/>
              <w:kern w:val="2"/>
              <w:sz w:val="24"/>
              <w:szCs w:val="24"/>
              <w14:ligatures w14:val="standardContextual"/>
            </w:rPr>
          </w:pPr>
          <w:hyperlink w:anchor="_Toc213409714" w:history="1">
            <w:r w:rsidRPr="00A41457">
              <w:rPr>
                <w:rStyle w:val="Hyperlink"/>
              </w:rPr>
              <w:t>2.3</w:t>
            </w:r>
            <w:r>
              <w:rPr>
                <w:rFonts w:asciiTheme="minorHAnsi" w:eastAsiaTheme="minorEastAsia" w:hAnsiTheme="minorHAnsi" w:cstheme="minorBidi"/>
                <w:kern w:val="2"/>
                <w:sz w:val="24"/>
                <w:szCs w:val="24"/>
                <w14:ligatures w14:val="standardContextual"/>
              </w:rPr>
              <w:tab/>
            </w:r>
            <w:r w:rsidRPr="00A41457">
              <w:rPr>
                <w:rStyle w:val="Hyperlink"/>
              </w:rPr>
              <w:t>MRSS</w:t>
            </w:r>
            <w:r>
              <w:rPr>
                <w:webHidden/>
              </w:rPr>
              <w:tab/>
            </w:r>
            <w:r>
              <w:rPr>
                <w:webHidden/>
              </w:rPr>
              <w:fldChar w:fldCharType="begin"/>
            </w:r>
            <w:r>
              <w:rPr>
                <w:webHidden/>
              </w:rPr>
              <w:instrText xml:space="preserve"> PAGEREF _Toc213409714 \h </w:instrText>
            </w:r>
            <w:r>
              <w:rPr>
                <w:webHidden/>
              </w:rPr>
            </w:r>
            <w:r>
              <w:rPr>
                <w:webHidden/>
              </w:rPr>
              <w:fldChar w:fldCharType="separate"/>
            </w:r>
            <w:r>
              <w:rPr>
                <w:webHidden/>
              </w:rPr>
              <w:t>3</w:t>
            </w:r>
            <w:r>
              <w:rPr>
                <w:webHidden/>
              </w:rPr>
              <w:fldChar w:fldCharType="end"/>
            </w:r>
          </w:hyperlink>
        </w:p>
        <w:p w14:paraId="2DAAE11E" w14:textId="0EE6BBDF" w:rsidR="00A04255" w:rsidRDefault="00A04255">
          <w:pPr>
            <w:pStyle w:val="TOC3"/>
            <w:rPr>
              <w:rFonts w:asciiTheme="minorHAnsi" w:eastAsiaTheme="minorEastAsia" w:hAnsiTheme="minorHAnsi" w:cstheme="minorBidi"/>
              <w:kern w:val="2"/>
              <w:sz w:val="24"/>
              <w:szCs w:val="24"/>
              <w14:ligatures w14:val="standardContextual"/>
            </w:rPr>
          </w:pPr>
          <w:hyperlink w:anchor="_Toc213409715" w:history="1">
            <w:r w:rsidRPr="00A41457">
              <w:rPr>
                <w:rStyle w:val="Hyperlink"/>
                <w:lang w:eastAsia="en-GB"/>
              </w:rPr>
              <w:t>2.3.1</w:t>
            </w:r>
            <w:r>
              <w:rPr>
                <w:rFonts w:asciiTheme="minorHAnsi" w:eastAsiaTheme="minorEastAsia" w:hAnsiTheme="minorHAnsi" w:cstheme="minorBidi"/>
                <w:kern w:val="2"/>
                <w:sz w:val="24"/>
                <w:szCs w:val="24"/>
                <w14:ligatures w14:val="standardContextual"/>
              </w:rPr>
              <w:tab/>
            </w:r>
            <w:r w:rsidRPr="00A41457">
              <w:rPr>
                <w:rStyle w:val="Hyperlink"/>
                <w:lang w:eastAsia="en-GB"/>
              </w:rPr>
              <w:t>Resource Allocation Coordination and NR-6GR Co-location</w:t>
            </w:r>
            <w:r>
              <w:rPr>
                <w:webHidden/>
              </w:rPr>
              <w:tab/>
            </w:r>
            <w:r>
              <w:rPr>
                <w:webHidden/>
              </w:rPr>
              <w:fldChar w:fldCharType="begin"/>
            </w:r>
            <w:r>
              <w:rPr>
                <w:webHidden/>
              </w:rPr>
              <w:instrText xml:space="preserve"> PAGEREF _Toc213409715 \h </w:instrText>
            </w:r>
            <w:r>
              <w:rPr>
                <w:webHidden/>
              </w:rPr>
            </w:r>
            <w:r>
              <w:rPr>
                <w:webHidden/>
              </w:rPr>
              <w:fldChar w:fldCharType="separate"/>
            </w:r>
            <w:r>
              <w:rPr>
                <w:webHidden/>
              </w:rPr>
              <w:t>4</w:t>
            </w:r>
            <w:r>
              <w:rPr>
                <w:webHidden/>
              </w:rPr>
              <w:fldChar w:fldCharType="end"/>
            </w:r>
          </w:hyperlink>
        </w:p>
        <w:p w14:paraId="0F8B12D2" w14:textId="64837AF5" w:rsidR="00A04255" w:rsidRDefault="00A04255">
          <w:pPr>
            <w:pStyle w:val="TOC3"/>
            <w:rPr>
              <w:rFonts w:asciiTheme="minorHAnsi" w:eastAsiaTheme="minorEastAsia" w:hAnsiTheme="minorHAnsi" w:cstheme="minorBidi"/>
              <w:kern w:val="2"/>
              <w:sz w:val="24"/>
              <w:szCs w:val="24"/>
              <w14:ligatures w14:val="standardContextual"/>
            </w:rPr>
          </w:pPr>
          <w:hyperlink w:anchor="_Toc213409716" w:history="1">
            <w:r w:rsidRPr="00A41457">
              <w:rPr>
                <w:rStyle w:val="Hyperlink"/>
                <w:lang w:eastAsia="en-GB"/>
              </w:rPr>
              <w:t>2.3.2</w:t>
            </w:r>
            <w:r>
              <w:rPr>
                <w:rFonts w:asciiTheme="minorHAnsi" w:eastAsiaTheme="minorEastAsia" w:hAnsiTheme="minorHAnsi" w:cstheme="minorBidi"/>
                <w:kern w:val="2"/>
                <w:sz w:val="24"/>
                <w:szCs w:val="24"/>
                <w14:ligatures w14:val="standardContextual"/>
              </w:rPr>
              <w:tab/>
            </w:r>
            <w:r w:rsidRPr="00A41457">
              <w:rPr>
                <w:rStyle w:val="Hyperlink"/>
                <w:lang w:eastAsia="en-GB"/>
              </w:rPr>
              <w:t>Discussion on UL/DL Alignment in MRSS Operation</w:t>
            </w:r>
            <w:r>
              <w:rPr>
                <w:webHidden/>
              </w:rPr>
              <w:tab/>
            </w:r>
            <w:r>
              <w:rPr>
                <w:webHidden/>
              </w:rPr>
              <w:fldChar w:fldCharType="begin"/>
            </w:r>
            <w:r>
              <w:rPr>
                <w:webHidden/>
              </w:rPr>
              <w:instrText xml:space="preserve"> PAGEREF _Toc213409716 \h </w:instrText>
            </w:r>
            <w:r>
              <w:rPr>
                <w:webHidden/>
              </w:rPr>
            </w:r>
            <w:r>
              <w:rPr>
                <w:webHidden/>
              </w:rPr>
              <w:fldChar w:fldCharType="separate"/>
            </w:r>
            <w:r>
              <w:rPr>
                <w:webHidden/>
              </w:rPr>
              <w:t>4</w:t>
            </w:r>
            <w:r>
              <w:rPr>
                <w:webHidden/>
              </w:rPr>
              <w:fldChar w:fldCharType="end"/>
            </w:r>
          </w:hyperlink>
        </w:p>
        <w:p w14:paraId="655DAA60" w14:textId="5E2B187A" w:rsidR="00A04255" w:rsidRDefault="00A04255">
          <w:pPr>
            <w:pStyle w:val="TOC3"/>
            <w:rPr>
              <w:rFonts w:asciiTheme="minorHAnsi" w:eastAsiaTheme="minorEastAsia" w:hAnsiTheme="minorHAnsi" w:cstheme="minorBidi"/>
              <w:kern w:val="2"/>
              <w:sz w:val="24"/>
              <w:szCs w:val="24"/>
              <w14:ligatures w14:val="standardContextual"/>
            </w:rPr>
          </w:pPr>
          <w:hyperlink w:anchor="_Toc213409717" w:history="1">
            <w:r w:rsidRPr="00A41457">
              <w:rPr>
                <w:rStyle w:val="Hyperlink"/>
                <w:lang w:eastAsia="en-GB"/>
              </w:rPr>
              <w:t>2.3.3</w:t>
            </w:r>
            <w:r>
              <w:rPr>
                <w:rFonts w:asciiTheme="minorHAnsi" w:eastAsiaTheme="minorEastAsia" w:hAnsiTheme="minorHAnsi" w:cstheme="minorBidi"/>
                <w:kern w:val="2"/>
                <w:sz w:val="24"/>
                <w:szCs w:val="24"/>
                <w14:ligatures w14:val="standardContextual"/>
              </w:rPr>
              <w:tab/>
            </w:r>
            <w:r w:rsidRPr="00A41457">
              <w:rPr>
                <w:rStyle w:val="Hyperlink"/>
                <w:lang w:eastAsia="en-GB"/>
              </w:rPr>
              <w:t>Signalling Overhead and NR Signal Re-use</w:t>
            </w:r>
            <w:r>
              <w:rPr>
                <w:webHidden/>
              </w:rPr>
              <w:tab/>
            </w:r>
            <w:r>
              <w:rPr>
                <w:webHidden/>
              </w:rPr>
              <w:fldChar w:fldCharType="begin"/>
            </w:r>
            <w:r>
              <w:rPr>
                <w:webHidden/>
              </w:rPr>
              <w:instrText xml:space="preserve"> PAGEREF _Toc213409717 \h </w:instrText>
            </w:r>
            <w:r>
              <w:rPr>
                <w:webHidden/>
              </w:rPr>
            </w:r>
            <w:r>
              <w:rPr>
                <w:webHidden/>
              </w:rPr>
              <w:fldChar w:fldCharType="separate"/>
            </w:r>
            <w:r>
              <w:rPr>
                <w:webHidden/>
              </w:rPr>
              <w:t>4</w:t>
            </w:r>
            <w:r>
              <w:rPr>
                <w:webHidden/>
              </w:rPr>
              <w:fldChar w:fldCharType="end"/>
            </w:r>
          </w:hyperlink>
        </w:p>
        <w:p w14:paraId="555E0588" w14:textId="413AB7AE" w:rsidR="00A04255" w:rsidRDefault="00A04255">
          <w:pPr>
            <w:pStyle w:val="TOC2"/>
            <w:rPr>
              <w:rFonts w:asciiTheme="minorHAnsi" w:eastAsiaTheme="minorEastAsia" w:hAnsiTheme="minorHAnsi" w:cstheme="minorBidi"/>
              <w:kern w:val="2"/>
              <w:sz w:val="24"/>
              <w:szCs w:val="24"/>
              <w14:ligatures w14:val="standardContextual"/>
            </w:rPr>
          </w:pPr>
          <w:hyperlink w:anchor="_Toc213409718" w:history="1">
            <w:r w:rsidRPr="00A41457">
              <w:rPr>
                <w:rStyle w:val="Hyperlink"/>
              </w:rPr>
              <w:t>2.4</w:t>
            </w:r>
            <w:r>
              <w:rPr>
                <w:rFonts w:asciiTheme="minorHAnsi" w:eastAsiaTheme="minorEastAsia" w:hAnsiTheme="minorHAnsi" w:cstheme="minorBidi"/>
                <w:kern w:val="2"/>
                <w:sz w:val="24"/>
                <w:szCs w:val="24"/>
                <w14:ligatures w14:val="standardContextual"/>
              </w:rPr>
              <w:tab/>
            </w:r>
            <w:r w:rsidRPr="00A41457">
              <w:rPr>
                <w:rStyle w:val="Hyperlink"/>
              </w:rPr>
              <w:t>Bandwidth Part Adaptation</w:t>
            </w:r>
            <w:r>
              <w:rPr>
                <w:webHidden/>
              </w:rPr>
              <w:tab/>
            </w:r>
            <w:r>
              <w:rPr>
                <w:webHidden/>
              </w:rPr>
              <w:fldChar w:fldCharType="begin"/>
            </w:r>
            <w:r>
              <w:rPr>
                <w:webHidden/>
              </w:rPr>
              <w:instrText xml:space="preserve"> PAGEREF _Toc213409718 \h </w:instrText>
            </w:r>
            <w:r>
              <w:rPr>
                <w:webHidden/>
              </w:rPr>
            </w:r>
            <w:r>
              <w:rPr>
                <w:webHidden/>
              </w:rPr>
              <w:fldChar w:fldCharType="separate"/>
            </w:r>
            <w:r>
              <w:rPr>
                <w:webHidden/>
              </w:rPr>
              <w:t>5</w:t>
            </w:r>
            <w:r>
              <w:rPr>
                <w:webHidden/>
              </w:rPr>
              <w:fldChar w:fldCharType="end"/>
            </w:r>
          </w:hyperlink>
        </w:p>
        <w:p w14:paraId="13071863" w14:textId="5AC8F30C" w:rsidR="00A04255" w:rsidRDefault="00A04255">
          <w:pPr>
            <w:pStyle w:val="TOC2"/>
            <w:rPr>
              <w:rFonts w:asciiTheme="minorHAnsi" w:eastAsiaTheme="minorEastAsia" w:hAnsiTheme="minorHAnsi" w:cstheme="minorBidi"/>
              <w:kern w:val="2"/>
              <w:sz w:val="24"/>
              <w:szCs w:val="24"/>
              <w14:ligatures w14:val="standardContextual"/>
            </w:rPr>
          </w:pPr>
          <w:hyperlink w:anchor="_Toc213409719" w:history="1">
            <w:r w:rsidRPr="00A41457">
              <w:rPr>
                <w:rStyle w:val="Hyperlink"/>
              </w:rPr>
              <w:t>2.5</w:t>
            </w:r>
            <w:r>
              <w:rPr>
                <w:rFonts w:asciiTheme="minorHAnsi" w:eastAsiaTheme="minorEastAsia" w:hAnsiTheme="minorHAnsi" w:cstheme="minorBidi"/>
                <w:kern w:val="2"/>
                <w:sz w:val="24"/>
                <w:szCs w:val="24"/>
                <w14:ligatures w14:val="standardContextual"/>
              </w:rPr>
              <w:tab/>
            </w:r>
            <w:r w:rsidRPr="00A41457">
              <w:rPr>
                <w:rStyle w:val="Hyperlink"/>
              </w:rPr>
              <w:t>Waveform</w:t>
            </w:r>
            <w:r>
              <w:rPr>
                <w:webHidden/>
              </w:rPr>
              <w:tab/>
            </w:r>
            <w:r>
              <w:rPr>
                <w:webHidden/>
              </w:rPr>
              <w:fldChar w:fldCharType="begin"/>
            </w:r>
            <w:r>
              <w:rPr>
                <w:webHidden/>
              </w:rPr>
              <w:instrText xml:space="preserve"> PAGEREF _Toc213409719 \h </w:instrText>
            </w:r>
            <w:r>
              <w:rPr>
                <w:webHidden/>
              </w:rPr>
            </w:r>
            <w:r>
              <w:rPr>
                <w:webHidden/>
              </w:rPr>
              <w:fldChar w:fldCharType="separate"/>
            </w:r>
            <w:r>
              <w:rPr>
                <w:webHidden/>
              </w:rPr>
              <w:t>5</w:t>
            </w:r>
            <w:r>
              <w:rPr>
                <w:webHidden/>
              </w:rPr>
              <w:fldChar w:fldCharType="end"/>
            </w:r>
          </w:hyperlink>
        </w:p>
        <w:p w14:paraId="123F499C" w14:textId="0BD6D39A" w:rsidR="00A04255" w:rsidRDefault="00A04255">
          <w:pPr>
            <w:pStyle w:val="TOC3"/>
            <w:rPr>
              <w:rFonts w:asciiTheme="minorHAnsi" w:eastAsiaTheme="minorEastAsia" w:hAnsiTheme="minorHAnsi" w:cstheme="minorBidi"/>
              <w:kern w:val="2"/>
              <w:sz w:val="24"/>
              <w:szCs w:val="24"/>
              <w14:ligatures w14:val="standardContextual"/>
            </w:rPr>
          </w:pPr>
          <w:hyperlink w:anchor="_Toc213409720" w:history="1">
            <w:r w:rsidRPr="00A41457">
              <w:rPr>
                <w:rStyle w:val="Hyperlink"/>
                <w:lang w:eastAsia="en-GB"/>
              </w:rPr>
              <w:t>2.5.1</w:t>
            </w:r>
            <w:r>
              <w:rPr>
                <w:rFonts w:asciiTheme="minorHAnsi" w:eastAsiaTheme="minorEastAsia" w:hAnsiTheme="minorHAnsi" w:cstheme="minorBidi"/>
                <w:kern w:val="2"/>
                <w:sz w:val="24"/>
                <w:szCs w:val="24"/>
                <w14:ligatures w14:val="standardContextual"/>
              </w:rPr>
              <w:tab/>
            </w:r>
            <w:r w:rsidRPr="00A41457">
              <w:rPr>
                <w:rStyle w:val="Hyperlink"/>
                <w:lang w:eastAsia="en-GB"/>
              </w:rPr>
              <w:t>Baseline and Continuity with 5G NR</w:t>
            </w:r>
            <w:r>
              <w:rPr>
                <w:webHidden/>
              </w:rPr>
              <w:tab/>
            </w:r>
            <w:r>
              <w:rPr>
                <w:webHidden/>
              </w:rPr>
              <w:fldChar w:fldCharType="begin"/>
            </w:r>
            <w:r>
              <w:rPr>
                <w:webHidden/>
              </w:rPr>
              <w:instrText xml:space="preserve"> PAGEREF _Toc213409720 \h </w:instrText>
            </w:r>
            <w:r>
              <w:rPr>
                <w:webHidden/>
              </w:rPr>
            </w:r>
            <w:r>
              <w:rPr>
                <w:webHidden/>
              </w:rPr>
              <w:fldChar w:fldCharType="separate"/>
            </w:r>
            <w:r>
              <w:rPr>
                <w:webHidden/>
              </w:rPr>
              <w:t>6</w:t>
            </w:r>
            <w:r>
              <w:rPr>
                <w:webHidden/>
              </w:rPr>
              <w:fldChar w:fldCharType="end"/>
            </w:r>
          </w:hyperlink>
        </w:p>
        <w:p w14:paraId="20F7AFA1" w14:textId="17080EB4" w:rsidR="00A04255" w:rsidRDefault="00A04255">
          <w:pPr>
            <w:pStyle w:val="TOC3"/>
            <w:rPr>
              <w:rFonts w:asciiTheme="minorHAnsi" w:eastAsiaTheme="minorEastAsia" w:hAnsiTheme="minorHAnsi" w:cstheme="minorBidi"/>
              <w:kern w:val="2"/>
              <w:sz w:val="24"/>
              <w:szCs w:val="24"/>
              <w14:ligatures w14:val="standardContextual"/>
            </w:rPr>
          </w:pPr>
          <w:hyperlink w:anchor="_Toc213409721" w:history="1">
            <w:r w:rsidRPr="00A41457">
              <w:rPr>
                <w:rStyle w:val="Hyperlink"/>
                <w:lang w:eastAsia="en-GB"/>
              </w:rPr>
              <w:t>2.5.2</w:t>
            </w:r>
            <w:r>
              <w:rPr>
                <w:rFonts w:asciiTheme="minorHAnsi" w:eastAsiaTheme="minorEastAsia" w:hAnsiTheme="minorHAnsi" w:cstheme="minorBidi"/>
                <w:kern w:val="2"/>
                <w:sz w:val="24"/>
                <w:szCs w:val="24"/>
                <w14:ligatures w14:val="standardContextual"/>
              </w:rPr>
              <w:tab/>
            </w:r>
            <w:r w:rsidRPr="00A41457">
              <w:rPr>
                <w:rStyle w:val="Hyperlink"/>
                <w:lang w:eastAsia="en-GB"/>
              </w:rPr>
              <w:t>Enhancement Areas: Low PAPR, Spectrum Efficiency, Coverage</w:t>
            </w:r>
            <w:r>
              <w:rPr>
                <w:webHidden/>
              </w:rPr>
              <w:tab/>
            </w:r>
            <w:r>
              <w:rPr>
                <w:webHidden/>
              </w:rPr>
              <w:fldChar w:fldCharType="begin"/>
            </w:r>
            <w:r>
              <w:rPr>
                <w:webHidden/>
              </w:rPr>
              <w:instrText xml:space="preserve"> PAGEREF _Toc213409721 \h </w:instrText>
            </w:r>
            <w:r>
              <w:rPr>
                <w:webHidden/>
              </w:rPr>
            </w:r>
            <w:r>
              <w:rPr>
                <w:webHidden/>
              </w:rPr>
              <w:fldChar w:fldCharType="separate"/>
            </w:r>
            <w:r>
              <w:rPr>
                <w:webHidden/>
              </w:rPr>
              <w:t>6</w:t>
            </w:r>
            <w:r>
              <w:rPr>
                <w:webHidden/>
              </w:rPr>
              <w:fldChar w:fldCharType="end"/>
            </w:r>
          </w:hyperlink>
        </w:p>
        <w:p w14:paraId="591971AD" w14:textId="5A1E1E66" w:rsidR="00A04255" w:rsidRDefault="00A04255">
          <w:pPr>
            <w:pStyle w:val="TOC3"/>
            <w:rPr>
              <w:rFonts w:asciiTheme="minorHAnsi" w:eastAsiaTheme="minorEastAsia" w:hAnsiTheme="minorHAnsi" w:cstheme="minorBidi"/>
              <w:kern w:val="2"/>
              <w:sz w:val="24"/>
              <w:szCs w:val="24"/>
              <w14:ligatures w14:val="standardContextual"/>
            </w:rPr>
          </w:pPr>
          <w:hyperlink w:anchor="_Toc213409722" w:history="1">
            <w:r w:rsidRPr="00A41457">
              <w:rPr>
                <w:rStyle w:val="Hyperlink"/>
                <w:lang w:eastAsia="en-GB"/>
              </w:rPr>
              <w:t>2.5.3</w:t>
            </w:r>
            <w:r>
              <w:rPr>
                <w:rFonts w:asciiTheme="minorHAnsi" w:eastAsiaTheme="minorEastAsia" w:hAnsiTheme="minorHAnsi" w:cstheme="minorBidi"/>
                <w:kern w:val="2"/>
                <w:sz w:val="24"/>
                <w:szCs w:val="24"/>
                <w14:ligatures w14:val="standardContextual"/>
              </w:rPr>
              <w:tab/>
            </w:r>
            <w:r w:rsidRPr="00A41457">
              <w:rPr>
                <w:rStyle w:val="Hyperlink"/>
                <w:lang w:eastAsia="en-GB"/>
              </w:rPr>
              <w:t>DL DFT-s-OFDM Use Cases and NTN Relevance</w:t>
            </w:r>
            <w:r>
              <w:rPr>
                <w:webHidden/>
              </w:rPr>
              <w:tab/>
            </w:r>
            <w:r>
              <w:rPr>
                <w:webHidden/>
              </w:rPr>
              <w:fldChar w:fldCharType="begin"/>
            </w:r>
            <w:r>
              <w:rPr>
                <w:webHidden/>
              </w:rPr>
              <w:instrText xml:space="preserve"> PAGEREF _Toc213409722 \h </w:instrText>
            </w:r>
            <w:r>
              <w:rPr>
                <w:webHidden/>
              </w:rPr>
            </w:r>
            <w:r>
              <w:rPr>
                <w:webHidden/>
              </w:rPr>
              <w:fldChar w:fldCharType="separate"/>
            </w:r>
            <w:r>
              <w:rPr>
                <w:webHidden/>
              </w:rPr>
              <w:t>6</w:t>
            </w:r>
            <w:r>
              <w:rPr>
                <w:webHidden/>
              </w:rPr>
              <w:fldChar w:fldCharType="end"/>
            </w:r>
          </w:hyperlink>
        </w:p>
        <w:p w14:paraId="402AF0E9" w14:textId="04416835" w:rsidR="00A04255" w:rsidRDefault="00A04255">
          <w:pPr>
            <w:pStyle w:val="TOC3"/>
            <w:rPr>
              <w:rFonts w:asciiTheme="minorHAnsi" w:eastAsiaTheme="minorEastAsia" w:hAnsiTheme="minorHAnsi" w:cstheme="minorBidi"/>
              <w:kern w:val="2"/>
              <w:sz w:val="24"/>
              <w:szCs w:val="24"/>
              <w14:ligatures w14:val="standardContextual"/>
            </w:rPr>
          </w:pPr>
          <w:hyperlink w:anchor="_Toc213409723" w:history="1">
            <w:r w:rsidRPr="00A41457">
              <w:rPr>
                <w:rStyle w:val="Hyperlink"/>
                <w:lang w:eastAsia="en-GB"/>
              </w:rPr>
              <w:t>2.5.4</w:t>
            </w:r>
            <w:r>
              <w:rPr>
                <w:rFonts w:asciiTheme="minorHAnsi" w:eastAsiaTheme="minorEastAsia" w:hAnsiTheme="minorHAnsi" w:cstheme="minorBidi"/>
                <w:kern w:val="2"/>
                <w:sz w:val="24"/>
                <w:szCs w:val="24"/>
                <w14:ligatures w14:val="standardContextual"/>
              </w:rPr>
              <w:tab/>
            </w:r>
            <w:r w:rsidRPr="00A41457">
              <w:rPr>
                <w:rStyle w:val="Hyperlink"/>
                <w:lang w:eastAsia="en-GB"/>
              </w:rPr>
              <w:t>Low-Complexity Access and Wake-Up Signaling</w:t>
            </w:r>
            <w:r>
              <w:rPr>
                <w:webHidden/>
              </w:rPr>
              <w:tab/>
            </w:r>
            <w:r>
              <w:rPr>
                <w:webHidden/>
              </w:rPr>
              <w:fldChar w:fldCharType="begin"/>
            </w:r>
            <w:r>
              <w:rPr>
                <w:webHidden/>
              </w:rPr>
              <w:instrText xml:space="preserve"> PAGEREF _Toc213409723 \h </w:instrText>
            </w:r>
            <w:r>
              <w:rPr>
                <w:webHidden/>
              </w:rPr>
            </w:r>
            <w:r>
              <w:rPr>
                <w:webHidden/>
              </w:rPr>
              <w:fldChar w:fldCharType="separate"/>
            </w:r>
            <w:r>
              <w:rPr>
                <w:webHidden/>
              </w:rPr>
              <w:t>7</w:t>
            </w:r>
            <w:r>
              <w:rPr>
                <w:webHidden/>
              </w:rPr>
              <w:fldChar w:fldCharType="end"/>
            </w:r>
          </w:hyperlink>
        </w:p>
        <w:p w14:paraId="4A68E62C" w14:textId="3C48466A" w:rsidR="00A04255" w:rsidRDefault="00A04255">
          <w:pPr>
            <w:pStyle w:val="TOC3"/>
            <w:rPr>
              <w:rFonts w:asciiTheme="minorHAnsi" w:eastAsiaTheme="minorEastAsia" w:hAnsiTheme="minorHAnsi" w:cstheme="minorBidi"/>
              <w:kern w:val="2"/>
              <w:sz w:val="24"/>
              <w:szCs w:val="24"/>
              <w14:ligatures w14:val="standardContextual"/>
            </w:rPr>
          </w:pPr>
          <w:hyperlink w:anchor="_Toc213409724" w:history="1">
            <w:r w:rsidRPr="00A41457">
              <w:rPr>
                <w:rStyle w:val="Hyperlink"/>
                <w:lang w:eastAsia="en-GB"/>
              </w:rPr>
              <w:t>2.5.5</w:t>
            </w:r>
            <w:r>
              <w:rPr>
                <w:rFonts w:asciiTheme="minorHAnsi" w:eastAsiaTheme="minorEastAsia" w:hAnsiTheme="minorHAnsi" w:cstheme="minorBidi"/>
                <w:kern w:val="2"/>
                <w:sz w:val="24"/>
                <w:szCs w:val="24"/>
                <w14:ligatures w14:val="standardContextual"/>
              </w:rPr>
              <w:tab/>
            </w:r>
            <w:r w:rsidRPr="00A41457">
              <w:rPr>
                <w:rStyle w:val="Hyperlink"/>
                <w:lang w:eastAsia="en-GB"/>
              </w:rPr>
              <w:t>Beyond OFDM Candidates for Future Study</w:t>
            </w:r>
            <w:r>
              <w:rPr>
                <w:webHidden/>
              </w:rPr>
              <w:tab/>
            </w:r>
            <w:r>
              <w:rPr>
                <w:webHidden/>
              </w:rPr>
              <w:fldChar w:fldCharType="begin"/>
            </w:r>
            <w:r>
              <w:rPr>
                <w:webHidden/>
              </w:rPr>
              <w:instrText xml:space="preserve"> PAGEREF _Toc213409724 \h </w:instrText>
            </w:r>
            <w:r>
              <w:rPr>
                <w:webHidden/>
              </w:rPr>
            </w:r>
            <w:r>
              <w:rPr>
                <w:webHidden/>
              </w:rPr>
              <w:fldChar w:fldCharType="separate"/>
            </w:r>
            <w:r>
              <w:rPr>
                <w:webHidden/>
              </w:rPr>
              <w:t>7</w:t>
            </w:r>
            <w:r>
              <w:rPr>
                <w:webHidden/>
              </w:rPr>
              <w:fldChar w:fldCharType="end"/>
            </w:r>
          </w:hyperlink>
        </w:p>
        <w:p w14:paraId="3553036C" w14:textId="230D67F0" w:rsidR="00A04255" w:rsidRDefault="00A04255">
          <w:pPr>
            <w:pStyle w:val="TOC3"/>
            <w:rPr>
              <w:rFonts w:asciiTheme="minorHAnsi" w:eastAsiaTheme="minorEastAsia" w:hAnsiTheme="minorHAnsi" w:cstheme="minorBidi"/>
              <w:kern w:val="2"/>
              <w:sz w:val="24"/>
              <w:szCs w:val="24"/>
              <w14:ligatures w14:val="standardContextual"/>
            </w:rPr>
          </w:pPr>
          <w:hyperlink w:anchor="_Toc213409725" w:history="1">
            <w:r w:rsidRPr="00A41457">
              <w:rPr>
                <w:rStyle w:val="Hyperlink"/>
                <w:lang w:eastAsia="en-GB"/>
              </w:rPr>
              <w:t>2.5.6</w:t>
            </w:r>
            <w:r>
              <w:rPr>
                <w:rFonts w:asciiTheme="minorHAnsi" w:eastAsiaTheme="minorEastAsia" w:hAnsiTheme="minorHAnsi" w:cstheme="minorBidi"/>
                <w:kern w:val="2"/>
                <w:sz w:val="24"/>
                <w:szCs w:val="24"/>
                <w14:ligatures w14:val="standardContextual"/>
              </w:rPr>
              <w:tab/>
            </w:r>
            <w:r w:rsidRPr="00A41457">
              <w:rPr>
                <w:rStyle w:val="Hyperlink"/>
                <w:lang w:eastAsia="en-GB"/>
              </w:rPr>
              <w:t>Requirements for 6G waveform</w:t>
            </w:r>
            <w:r>
              <w:rPr>
                <w:webHidden/>
              </w:rPr>
              <w:tab/>
            </w:r>
            <w:r>
              <w:rPr>
                <w:webHidden/>
              </w:rPr>
              <w:fldChar w:fldCharType="begin"/>
            </w:r>
            <w:r>
              <w:rPr>
                <w:webHidden/>
              </w:rPr>
              <w:instrText xml:space="preserve"> PAGEREF _Toc213409725 \h </w:instrText>
            </w:r>
            <w:r>
              <w:rPr>
                <w:webHidden/>
              </w:rPr>
            </w:r>
            <w:r>
              <w:rPr>
                <w:webHidden/>
              </w:rPr>
              <w:fldChar w:fldCharType="separate"/>
            </w:r>
            <w:r>
              <w:rPr>
                <w:webHidden/>
              </w:rPr>
              <w:t>7</w:t>
            </w:r>
            <w:r>
              <w:rPr>
                <w:webHidden/>
              </w:rPr>
              <w:fldChar w:fldCharType="end"/>
            </w:r>
          </w:hyperlink>
        </w:p>
        <w:p w14:paraId="4CB70D1E" w14:textId="7A2D9A94" w:rsidR="00A04255" w:rsidRDefault="00A04255">
          <w:pPr>
            <w:pStyle w:val="TOC1"/>
            <w:rPr>
              <w:rFonts w:asciiTheme="minorHAnsi" w:eastAsiaTheme="minorEastAsia" w:hAnsiTheme="minorHAnsi" w:cstheme="minorBidi"/>
              <w:kern w:val="2"/>
              <w:sz w:val="24"/>
              <w:szCs w:val="24"/>
              <w14:ligatures w14:val="standardContextual"/>
            </w:rPr>
          </w:pPr>
          <w:hyperlink w:anchor="_Toc213409726" w:history="1">
            <w:r w:rsidRPr="00A41457">
              <w:rPr>
                <w:rStyle w:val="Hyperlink"/>
              </w:rPr>
              <w:t>3</w:t>
            </w:r>
            <w:r>
              <w:rPr>
                <w:rFonts w:asciiTheme="minorHAnsi" w:eastAsiaTheme="minorEastAsia" w:hAnsiTheme="minorHAnsi" w:cstheme="minorBidi"/>
                <w:kern w:val="2"/>
                <w:sz w:val="24"/>
                <w:szCs w:val="24"/>
                <w14:ligatures w14:val="standardContextual"/>
              </w:rPr>
              <w:tab/>
            </w:r>
            <w:r w:rsidRPr="00A41457">
              <w:rPr>
                <w:rStyle w:val="Hyperlink"/>
              </w:rPr>
              <w:t>Conclusion</w:t>
            </w:r>
            <w:r>
              <w:rPr>
                <w:webHidden/>
              </w:rPr>
              <w:tab/>
            </w:r>
            <w:r>
              <w:rPr>
                <w:webHidden/>
              </w:rPr>
              <w:fldChar w:fldCharType="begin"/>
            </w:r>
            <w:r>
              <w:rPr>
                <w:webHidden/>
              </w:rPr>
              <w:instrText xml:space="preserve"> PAGEREF _Toc213409726 \h </w:instrText>
            </w:r>
            <w:r>
              <w:rPr>
                <w:webHidden/>
              </w:rPr>
            </w:r>
            <w:r>
              <w:rPr>
                <w:webHidden/>
              </w:rPr>
              <w:fldChar w:fldCharType="separate"/>
            </w:r>
            <w:r>
              <w:rPr>
                <w:webHidden/>
              </w:rPr>
              <w:t>7</w:t>
            </w:r>
            <w:r>
              <w:rPr>
                <w:webHidden/>
              </w:rPr>
              <w:fldChar w:fldCharType="end"/>
            </w:r>
          </w:hyperlink>
        </w:p>
        <w:p w14:paraId="257F0B4C" w14:textId="2F18B3FA" w:rsidR="00A04255" w:rsidRDefault="00A04255">
          <w:pPr>
            <w:pStyle w:val="TOC1"/>
            <w:rPr>
              <w:rFonts w:asciiTheme="minorHAnsi" w:eastAsiaTheme="minorEastAsia" w:hAnsiTheme="minorHAnsi" w:cstheme="minorBidi"/>
              <w:kern w:val="2"/>
              <w:sz w:val="24"/>
              <w:szCs w:val="24"/>
              <w14:ligatures w14:val="standardContextual"/>
            </w:rPr>
          </w:pPr>
          <w:hyperlink w:anchor="_Toc213409727" w:history="1">
            <w:r w:rsidRPr="00A41457">
              <w:rPr>
                <w:rStyle w:val="Hyperlink"/>
              </w:rPr>
              <w:t>4</w:t>
            </w:r>
            <w:r>
              <w:rPr>
                <w:rFonts w:asciiTheme="minorHAnsi" w:eastAsiaTheme="minorEastAsia" w:hAnsiTheme="minorHAnsi" w:cstheme="minorBidi"/>
                <w:kern w:val="2"/>
                <w:sz w:val="24"/>
                <w:szCs w:val="24"/>
                <w14:ligatures w14:val="standardContextual"/>
              </w:rPr>
              <w:tab/>
            </w:r>
            <w:r w:rsidRPr="00A41457">
              <w:rPr>
                <w:rStyle w:val="Hyperlink"/>
              </w:rPr>
              <w:t>References</w:t>
            </w:r>
            <w:r>
              <w:rPr>
                <w:webHidden/>
              </w:rPr>
              <w:tab/>
            </w:r>
            <w:r>
              <w:rPr>
                <w:webHidden/>
              </w:rPr>
              <w:fldChar w:fldCharType="begin"/>
            </w:r>
            <w:r>
              <w:rPr>
                <w:webHidden/>
              </w:rPr>
              <w:instrText xml:space="preserve"> PAGEREF _Toc213409727 \h </w:instrText>
            </w:r>
            <w:r>
              <w:rPr>
                <w:webHidden/>
              </w:rPr>
            </w:r>
            <w:r>
              <w:rPr>
                <w:webHidden/>
              </w:rPr>
              <w:fldChar w:fldCharType="separate"/>
            </w:r>
            <w:r>
              <w:rPr>
                <w:webHidden/>
              </w:rPr>
              <w:t>9</w:t>
            </w:r>
            <w:r>
              <w:rPr>
                <w:webHidden/>
              </w:rPr>
              <w:fldChar w:fldCharType="end"/>
            </w:r>
          </w:hyperlink>
        </w:p>
        <w:p w14:paraId="63BEC4F1" w14:textId="15E11C75" w:rsidR="0023693C" w:rsidRPr="00B036E0" w:rsidRDefault="0023693C" w:rsidP="00071D03">
          <w:pPr>
            <w:spacing w:after="0"/>
            <w:rPr>
              <w:lang w:val="en-US"/>
            </w:rPr>
          </w:pPr>
          <w:r w:rsidRPr="00B036E0">
            <w:rPr>
              <w:b/>
              <w:bCs/>
              <w:noProof/>
              <w:lang w:val="en-US"/>
            </w:rPr>
            <w:fldChar w:fldCharType="end"/>
          </w:r>
        </w:p>
      </w:sdtContent>
    </w:sdt>
    <w:p w14:paraId="0E05588B" w14:textId="54A92ACD" w:rsidR="00357393" w:rsidRPr="00B036E0" w:rsidRDefault="00AC3A13" w:rsidP="572F0BC0">
      <w:pPr>
        <w:pStyle w:val="Heading1"/>
        <w:spacing w:line="259" w:lineRule="auto"/>
        <w:rPr>
          <w:lang w:val="en-US"/>
        </w:rPr>
      </w:pPr>
      <w:bookmarkStart w:id="5" w:name="_Toc213409711"/>
      <w:r w:rsidRPr="00B036E0">
        <w:rPr>
          <w:lang w:val="en-US"/>
        </w:rPr>
        <w:t>Overview</w:t>
      </w:r>
      <w:r w:rsidR="00DC0A16" w:rsidRPr="00B036E0">
        <w:rPr>
          <w:lang w:val="en-US"/>
        </w:rPr>
        <w:t xml:space="preserve"> </w:t>
      </w:r>
      <w:r w:rsidR="0026451B" w:rsidRPr="00B036E0">
        <w:rPr>
          <w:lang w:val="en-US"/>
        </w:rPr>
        <w:t xml:space="preserve">of </w:t>
      </w:r>
      <w:r w:rsidRPr="00B036E0">
        <w:rPr>
          <w:lang w:val="en-US"/>
        </w:rPr>
        <w:t>6G</w:t>
      </w:r>
      <w:r w:rsidR="00193AF8" w:rsidRPr="00B036E0">
        <w:rPr>
          <w:lang w:val="en-US"/>
        </w:rPr>
        <w:t>R technologies</w:t>
      </w:r>
      <w:bookmarkEnd w:id="5"/>
    </w:p>
    <w:p w14:paraId="604A4854" w14:textId="7A6EE7B1" w:rsidR="002C5C1E" w:rsidRPr="00B036E0" w:rsidRDefault="00607882" w:rsidP="00012B1D">
      <w:pPr>
        <w:pStyle w:val="Heading2"/>
        <w:rPr>
          <w:lang w:val="en-US"/>
        </w:rPr>
      </w:pPr>
      <w:bookmarkStart w:id="6" w:name="_Toc213409712"/>
      <w:r w:rsidRPr="00B036E0">
        <w:rPr>
          <w:lang w:val="en-US"/>
        </w:rPr>
        <w:t>Support of Minimum Spectrum Allocation</w:t>
      </w:r>
      <w:bookmarkEnd w:id="6"/>
    </w:p>
    <w:p w14:paraId="13BCE122" w14:textId="3AAD921F" w:rsidR="0037356F" w:rsidRPr="00B036E0" w:rsidRDefault="0037356F" w:rsidP="0037356F">
      <w:pPr>
        <w:rPr>
          <w:lang w:val="en-US"/>
        </w:rPr>
      </w:pPr>
      <w:r w:rsidRPr="00B036E0">
        <w:rPr>
          <w:lang w:val="en-US"/>
        </w:rPr>
        <w:t xml:space="preserve">In RAN1#122-bis meeting, the following </w:t>
      </w:r>
      <w:r w:rsidR="00B036E0" w:rsidRPr="00B036E0">
        <w:rPr>
          <w:lang w:val="en-US"/>
        </w:rPr>
        <w:t>proposal</w:t>
      </w:r>
      <w:r w:rsidRPr="00B036E0">
        <w:rPr>
          <w:lang w:val="en-US"/>
        </w:rPr>
        <w:t xml:space="preserve"> was made</w:t>
      </w:r>
      <w:sdt>
        <w:sdtPr>
          <w:rPr>
            <w:lang w:val="en-US"/>
          </w:rPr>
          <w:id w:val="-1607806706"/>
          <w:citation/>
        </w:sdtPr>
        <w:sdtContent>
          <w:r w:rsidRPr="00B036E0">
            <w:rPr>
              <w:lang w:val="en-US"/>
            </w:rPr>
            <w:fldChar w:fldCharType="begin"/>
          </w:r>
          <w:r w:rsidRPr="00B036E0">
            <w:rPr>
              <w:lang w:val="en-US"/>
            </w:rPr>
            <w:instrText xml:space="preserve"> CITATION 3GP1 \l 1033 </w:instrText>
          </w:r>
          <w:r w:rsidRPr="00B036E0">
            <w:rPr>
              <w:lang w:val="en-US"/>
            </w:rPr>
            <w:fldChar w:fldCharType="separate"/>
          </w:r>
          <w:r w:rsidRPr="00B036E0">
            <w:rPr>
              <w:noProof/>
              <w:lang w:val="en-US"/>
            </w:rPr>
            <w:t xml:space="preserve"> [1]</w:t>
          </w:r>
          <w:r w:rsidRPr="00B036E0">
            <w:rPr>
              <w:lang w:val="en-US"/>
            </w:rPr>
            <w:fldChar w:fldCharType="end"/>
          </w:r>
        </w:sdtContent>
      </w:sdt>
      <w:r w:rsidRPr="00B036E0">
        <w:rPr>
          <w:lang w:val="en-US"/>
        </w:rPr>
        <w:t>:</w:t>
      </w:r>
    </w:p>
    <w:tbl>
      <w:tblPr>
        <w:tblStyle w:val="TableGrid"/>
        <w:tblW w:w="0" w:type="auto"/>
        <w:tblLook w:val="04A0" w:firstRow="1" w:lastRow="0" w:firstColumn="1" w:lastColumn="0" w:noHBand="0" w:noVBand="1"/>
      </w:tblPr>
      <w:tblGrid>
        <w:gridCol w:w="9209"/>
      </w:tblGrid>
      <w:tr w:rsidR="002002D1" w:rsidRPr="00B036E0" w14:paraId="2C4A90C0" w14:textId="77777777" w:rsidTr="00C04AA9">
        <w:tc>
          <w:tcPr>
            <w:tcW w:w="9209" w:type="dxa"/>
          </w:tcPr>
          <w:p w14:paraId="76C2FB82" w14:textId="77777777" w:rsidR="00B036E0" w:rsidRPr="00B036E0" w:rsidRDefault="00B036E0" w:rsidP="00B036E0">
            <w:pPr>
              <w:suppressAutoHyphens/>
              <w:overflowPunct/>
              <w:autoSpaceDE/>
              <w:autoSpaceDN/>
              <w:adjustRightInd/>
              <w:spacing w:after="120" w:line="259" w:lineRule="auto"/>
              <w:textAlignment w:val="auto"/>
              <w:rPr>
                <w:rFonts w:eastAsia="Yu Mincho"/>
                <w:sz w:val="21"/>
                <w:szCs w:val="21"/>
                <w:lang w:val="en-US" w:eastAsia="ja-JP"/>
              </w:rPr>
            </w:pPr>
            <w:r w:rsidRPr="00B036E0">
              <w:rPr>
                <w:b/>
                <w:bCs/>
                <w:highlight w:val="yellow"/>
                <w:lang w:val="en-US"/>
              </w:rPr>
              <w:t>Proposal 4.2b</w:t>
            </w:r>
            <w:r w:rsidRPr="00B036E0">
              <w:rPr>
                <w:rFonts w:eastAsia="Yu Mincho"/>
                <w:sz w:val="21"/>
                <w:szCs w:val="21"/>
                <w:lang w:val="en-US" w:eastAsia="ja-JP"/>
              </w:rPr>
              <w:t xml:space="preserve"> </w:t>
            </w:r>
          </w:p>
          <w:p w14:paraId="0F6E0EB9" w14:textId="7CE84C45" w:rsidR="0037356F" w:rsidRPr="0037356F" w:rsidRDefault="0037356F" w:rsidP="0037356F">
            <w:pPr>
              <w:numPr>
                <w:ilvl w:val="0"/>
                <w:numId w:val="41"/>
              </w:numPr>
              <w:suppressAutoHyphens/>
              <w:overflowPunct/>
              <w:autoSpaceDE/>
              <w:autoSpaceDN/>
              <w:adjustRightInd/>
              <w:spacing w:after="120" w:line="259" w:lineRule="auto"/>
              <w:textAlignment w:val="auto"/>
              <w:rPr>
                <w:rFonts w:eastAsia="Yu Mincho"/>
                <w:sz w:val="21"/>
                <w:szCs w:val="21"/>
                <w:lang w:val="en-US" w:eastAsia="ja-JP"/>
              </w:rPr>
            </w:pPr>
            <w:r w:rsidRPr="0037356F">
              <w:rPr>
                <w:rFonts w:eastAsia="Yu Mincho"/>
                <w:sz w:val="21"/>
                <w:szCs w:val="21"/>
                <w:lang w:val="en-US" w:eastAsia="ja-JP"/>
              </w:rPr>
              <w:t>RAN1 to consider following to operate 6GR on the minimum spectrum allocation</w:t>
            </w:r>
          </w:p>
          <w:p w14:paraId="0C378456" w14:textId="77777777" w:rsidR="0037356F" w:rsidRPr="0037356F" w:rsidRDefault="0037356F" w:rsidP="0037356F">
            <w:pPr>
              <w:numPr>
                <w:ilvl w:val="1"/>
                <w:numId w:val="41"/>
              </w:numPr>
              <w:suppressAutoHyphens/>
              <w:overflowPunct/>
              <w:autoSpaceDE/>
              <w:autoSpaceDN/>
              <w:adjustRightInd/>
              <w:spacing w:after="120" w:line="259" w:lineRule="auto"/>
              <w:textAlignment w:val="auto"/>
              <w:rPr>
                <w:rFonts w:eastAsia="Yu Mincho"/>
                <w:sz w:val="21"/>
                <w:szCs w:val="21"/>
                <w:lang w:val="en-US" w:eastAsia="ja-JP"/>
              </w:rPr>
            </w:pPr>
            <w:r w:rsidRPr="0037356F">
              <w:rPr>
                <w:rFonts w:eastAsia="Yu Mincho"/>
                <w:sz w:val="21"/>
                <w:szCs w:val="21"/>
                <w:lang w:val="en-US" w:eastAsia="ja-JP"/>
              </w:rPr>
              <w:t>Opt1: common signals/channels BW for initial access are punctured to fit into the minimum spectrum allocation, if the minimum spectrum allocation is smaller than the common signals/channels BW for initial access (if this case is supported)</w:t>
            </w:r>
          </w:p>
          <w:p w14:paraId="48DC8267" w14:textId="641C56E9" w:rsidR="0037356F" w:rsidRPr="0037356F" w:rsidRDefault="0037356F" w:rsidP="0037356F">
            <w:pPr>
              <w:numPr>
                <w:ilvl w:val="1"/>
                <w:numId w:val="41"/>
              </w:numPr>
              <w:suppressAutoHyphens/>
              <w:overflowPunct/>
              <w:autoSpaceDE/>
              <w:autoSpaceDN/>
              <w:adjustRightInd/>
              <w:spacing w:after="120" w:line="259" w:lineRule="auto"/>
              <w:textAlignment w:val="auto"/>
              <w:rPr>
                <w:rFonts w:eastAsia="Yu Mincho"/>
                <w:sz w:val="21"/>
                <w:szCs w:val="21"/>
                <w:lang w:val="en-US" w:eastAsia="ja-JP"/>
              </w:rPr>
            </w:pPr>
            <w:r w:rsidRPr="0037356F">
              <w:rPr>
                <w:rFonts w:eastAsia="Yu Mincho"/>
                <w:sz w:val="21"/>
                <w:szCs w:val="21"/>
                <w:lang w:val="en-US" w:eastAsia="ja-JP"/>
              </w:rPr>
              <w:t xml:space="preserve">Opt2: Scalable design of the common signals/channels for initial access for the minimum spectrum allocation from other spectrum </w:t>
            </w:r>
            <w:r w:rsidRPr="00B036E0">
              <w:rPr>
                <w:rFonts w:eastAsia="Yu Mincho"/>
                <w:sz w:val="21"/>
                <w:szCs w:val="21"/>
                <w:lang w:val="en-US" w:eastAsia="ja-JP"/>
              </w:rPr>
              <w:t>allocations,</w:t>
            </w:r>
            <w:r w:rsidRPr="0037356F">
              <w:rPr>
                <w:rFonts w:eastAsia="Yu Mincho"/>
                <w:sz w:val="21"/>
                <w:szCs w:val="21"/>
                <w:lang w:val="en-US" w:eastAsia="ja-JP"/>
              </w:rPr>
              <w:t xml:space="preserve"> if the minimum spectrum allocation is smaller than the common signals/channels BW for initial access for other spectrum allocations</w:t>
            </w:r>
          </w:p>
          <w:p w14:paraId="4A2C9B31" w14:textId="302A229E" w:rsidR="002002D1" w:rsidRPr="00B036E0" w:rsidRDefault="0037356F" w:rsidP="0037356F">
            <w:pPr>
              <w:numPr>
                <w:ilvl w:val="1"/>
                <w:numId w:val="41"/>
              </w:numPr>
              <w:suppressAutoHyphens/>
              <w:overflowPunct/>
              <w:autoSpaceDE/>
              <w:autoSpaceDN/>
              <w:adjustRightInd/>
              <w:spacing w:after="120" w:line="259" w:lineRule="auto"/>
              <w:textAlignment w:val="auto"/>
              <w:rPr>
                <w:rFonts w:eastAsia="Yu Mincho"/>
                <w:sz w:val="21"/>
                <w:szCs w:val="21"/>
                <w:lang w:val="en-US" w:eastAsia="ja-JP"/>
              </w:rPr>
            </w:pPr>
            <w:r w:rsidRPr="0037356F">
              <w:rPr>
                <w:rFonts w:eastAsia="Yu Mincho"/>
                <w:sz w:val="21"/>
                <w:szCs w:val="21"/>
                <w:lang w:val="en-US" w:eastAsia="ja-JP"/>
              </w:rPr>
              <w:lastRenderedPageBreak/>
              <w:t>Opt3: A single design of the common signals/channels for initial access which is applicable to any spectrum allocations</w:t>
            </w:r>
          </w:p>
        </w:tc>
      </w:tr>
    </w:tbl>
    <w:p w14:paraId="2DE3265A" w14:textId="77777777" w:rsidR="002002D1" w:rsidRPr="00B036E0" w:rsidRDefault="002002D1" w:rsidP="002002D1">
      <w:pPr>
        <w:rPr>
          <w:lang w:val="en-US"/>
        </w:rPr>
      </w:pPr>
    </w:p>
    <w:p w14:paraId="74B981E3" w14:textId="734D344C" w:rsidR="008C0DD4" w:rsidRPr="00B036E0" w:rsidRDefault="00607882" w:rsidP="008C0DD4">
      <w:pPr>
        <w:rPr>
          <w:lang w:val="en-US" w:eastAsia="zh-CN"/>
        </w:rPr>
      </w:pPr>
      <w:r w:rsidRPr="00B036E0">
        <w:rPr>
          <w:lang w:val="en-US" w:eastAsia="zh-CN"/>
        </w:rPr>
        <w:t>Minimum spectrum allocation directly affects initial access mechanisms and overall performance for mobile broadband devices. While all three options in the proposal merit further study, Option 1 with puncturing, Option 3 with a single common design, and Option 2 better support both entry-level and high-tier devices by removing the performance degradation imposed by the lowest-tier requirements (e.g., degraded coverage). A scalable approach can define a core set of mandatory functions and frequency bands for the lowest-tier device, then scale up to advanced device capabilities and frequency bands that advanced UEs commonly operate. In every option, the trade-offs should be evaluated to maximize performance gains for 6GR.</w:t>
      </w:r>
    </w:p>
    <w:p w14:paraId="4E4BD3BA" w14:textId="092EAD5E" w:rsidR="008C0DD4" w:rsidRPr="00B036E0" w:rsidRDefault="00607882" w:rsidP="008C0DD4">
      <w:pPr>
        <w:pStyle w:val="ListParagraph"/>
        <w:numPr>
          <w:ilvl w:val="0"/>
          <w:numId w:val="10"/>
        </w:numPr>
        <w:spacing w:after="180"/>
        <w:ind w:left="0" w:firstLine="0"/>
        <w:rPr>
          <w:b/>
          <w:bCs/>
          <w:i/>
          <w:iCs/>
          <w:sz w:val="20"/>
          <w:szCs w:val="20"/>
          <w:lang w:val="en-US"/>
        </w:rPr>
      </w:pPr>
      <w:r w:rsidRPr="00B036E0">
        <w:rPr>
          <w:b/>
          <w:bCs/>
          <w:i/>
          <w:iCs/>
          <w:sz w:val="20"/>
          <w:szCs w:val="20"/>
          <w:lang w:val="en-US"/>
        </w:rPr>
        <w:t>Support all options for further research, while prioritizing Option 2 to achieve a better synchronization signal design across diverse device types.</w:t>
      </w:r>
    </w:p>
    <w:p w14:paraId="3BD309A5" w14:textId="0EBB8CE0" w:rsidR="00884C87" w:rsidRPr="00B036E0" w:rsidRDefault="00607882" w:rsidP="00763742">
      <w:pPr>
        <w:pStyle w:val="Heading2"/>
        <w:rPr>
          <w:lang w:val="en-US"/>
        </w:rPr>
      </w:pPr>
      <w:bookmarkStart w:id="7" w:name="_Toc213409713"/>
      <w:r w:rsidRPr="00B036E0">
        <w:rPr>
          <w:lang w:val="en-US"/>
        </w:rPr>
        <w:t>Synchronization Signal Structure and Initial Access</w:t>
      </w:r>
      <w:bookmarkEnd w:id="7"/>
    </w:p>
    <w:p w14:paraId="0A828B4E" w14:textId="26A56137" w:rsidR="00DF7730" w:rsidRPr="00B036E0" w:rsidRDefault="00DF7730" w:rsidP="00DF7730">
      <w:pPr>
        <w:rPr>
          <w:lang w:val="en-US"/>
        </w:rPr>
      </w:pPr>
      <w:r w:rsidRPr="00B036E0">
        <w:rPr>
          <w:lang w:val="en-US"/>
        </w:rPr>
        <w:t>In RAN1#122-bis meeting, the following agreement was made</w:t>
      </w:r>
      <w:sdt>
        <w:sdtPr>
          <w:rPr>
            <w:lang w:val="en-US"/>
          </w:rPr>
          <w:id w:val="-1069410857"/>
          <w:citation/>
        </w:sdtPr>
        <w:sdtEndPr/>
        <w:sdtContent>
          <w:r w:rsidR="00117A27" w:rsidRPr="00B036E0">
            <w:rPr>
              <w:lang w:val="en-US"/>
            </w:rPr>
            <w:fldChar w:fldCharType="begin"/>
          </w:r>
          <w:r w:rsidR="00117A27" w:rsidRPr="00B036E0">
            <w:rPr>
              <w:lang w:val="en-US"/>
            </w:rPr>
            <w:instrText xml:space="preserve"> CITATION 3GP1 \l 1033 </w:instrText>
          </w:r>
          <w:r w:rsidR="00117A27" w:rsidRPr="00B036E0">
            <w:rPr>
              <w:lang w:val="en-US"/>
            </w:rPr>
            <w:fldChar w:fldCharType="separate"/>
          </w:r>
          <w:r w:rsidR="007E07C0" w:rsidRPr="00B036E0">
            <w:rPr>
              <w:noProof/>
              <w:lang w:val="en-US"/>
            </w:rPr>
            <w:t xml:space="preserve"> [1]</w:t>
          </w:r>
          <w:r w:rsidR="00117A27" w:rsidRPr="00B036E0">
            <w:rPr>
              <w:lang w:val="en-US"/>
            </w:rPr>
            <w:fldChar w:fldCharType="end"/>
          </w:r>
        </w:sdtContent>
      </w:sdt>
      <w:r w:rsidRPr="00B036E0">
        <w:rPr>
          <w:lang w:val="en-US"/>
        </w:rPr>
        <w:t>:</w:t>
      </w:r>
    </w:p>
    <w:tbl>
      <w:tblPr>
        <w:tblStyle w:val="TableGrid"/>
        <w:tblW w:w="0" w:type="auto"/>
        <w:tblLook w:val="04A0" w:firstRow="1" w:lastRow="0" w:firstColumn="1" w:lastColumn="0" w:noHBand="0" w:noVBand="1"/>
      </w:tblPr>
      <w:tblGrid>
        <w:gridCol w:w="9209"/>
      </w:tblGrid>
      <w:tr w:rsidR="00DF7730" w:rsidRPr="00B036E0" w14:paraId="2E429496" w14:textId="77777777" w:rsidTr="00712A6F">
        <w:tc>
          <w:tcPr>
            <w:tcW w:w="9209" w:type="dxa"/>
          </w:tcPr>
          <w:p w14:paraId="4D26F11F" w14:textId="77777777" w:rsidR="00DF7730" w:rsidRPr="00B036E0" w:rsidRDefault="00DF7730" w:rsidP="00712A6F">
            <w:pPr>
              <w:spacing w:line="252" w:lineRule="auto"/>
              <w:contextualSpacing/>
              <w:rPr>
                <w:rFonts w:eastAsiaTheme="minorEastAsia"/>
                <w:highlight w:val="green"/>
                <w:lang w:val="en-US" w:eastAsia="zh-CN"/>
              </w:rPr>
            </w:pPr>
            <w:r w:rsidRPr="00B036E0">
              <w:rPr>
                <w:rFonts w:eastAsiaTheme="minorEastAsia"/>
                <w:highlight w:val="green"/>
                <w:lang w:val="en-US" w:eastAsia="zh-CN"/>
              </w:rPr>
              <w:t>Agreement</w:t>
            </w:r>
          </w:p>
          <w:p w14:paraId="69FD1E88" w14:textId="77777777" w:rsidR="00DF7730" w:rsidRPr="00B036E0" w:rsidRDefault="00DF7730" w:rsidP="00DF7730">
            <w:pPr>
              <w:pStyle w:val="BodyText"/>
              <w:widowControl w:val="0"/>
              <w:numPr>
                <w:ilvl w:val="0"/>
                <w:numId w:val="25"/>
              </w:numPr>
              <w:suppressAutoHyphens/>
              <w:overflowPunct/>
              <w:autoSpaceDE/>
              <w:autoSpaceDN/>
              <w:adjustRightInd/>
              <w:spacing w:line="259" w:lineRule="auto"/>
              <w:textAlignment w:val="auto"/>
              <w:rPr>
                <w:lang w:val="en-US"/>
              </w:rPr>
            </w:pPr>
            <w:r w:rsidRPr="00B036E0">
              <w:rPr>
                <w:lang w:val="en-US"/>
              </w:rPr>
              <w:t>High-level aspects to consider for the 6GR sync</w:t>
            </w:r>
            <w:r w:rsidRPr="00B036E0">
              <w:rPr>
                <w:rFonts w:eastAsiaTheme="minorEastAsia"/>
                <w:lang w:val="en-US" w:eastAsia="zh-CN"/>
              </w:rPr>
              <w:t xml:space="preserve"> signal</w:t>
            </w:r>
            <w:r w:rsidRPr="00B036E0">
              <w:rPr>
                <w:lang w:val="en-US"/>
              </w:rPr>
              <w:t xml:space="preserve"> structure include, but not limited to</w:t>
            </w:r>
          </w:p>
          <w:p w14:paraId="2E89334E" w14:textId="77777777" w:rsidR="00DF7730" w:rsidRPr="00B036E0" w:rsidRDefault="00DF7730" w:rsidP="00DF7730">
            <w:pPr>
              <w:pStyle w:val="BodyText"/>
              <w:widowControl w:val="0"/>
              <w:numPr>
                <w:ilvl w:val="1"/>
                <w:numId w:val="25"/>
              </w:numPr>
              <w:suppressAutoHyphens/>
              <w:overflowPunct/>
              <w:autoSpaceDE/>
              <w:autoSpaceDN/>
              <w:adjustRightInd/>
              <w:spacing w:line="259" w:lineRule="auto"/>
              <w:textAlignment w:val="auto"/>
              <w:rPr>
                <w:lang w:val="en-US"/>
              </w:rPr>
            </w:pPr>
            <w:r w:rsidRPr="00B036E0">
              <w:rPr>
                <w:lang w:val="en-US"/>
              </w:rPr>
              <w:t>Sync raster design</w:t>
            </w:r>
          </w:p>
          <w:p w14:paraId="60820064" w14:textId="77777777" w:rsidR="00DF7730" w:rsidRPr="00B036E0" w:rsidRDefault="00DF7730" w:rsidP="00DF7730">
            <w:pPr>
              <w:pStyle w:val="BodyText"/>
              <w:widowControl w:val="0"/>
              <w:numPr>
                <w:ilvl w:val="1"/>
                <w:numId w:val="25"/>
              </w:numPr>
              <w:suppressAutoHyphens/>
              <w:overflowPunct/>
              <w:autoSpaceDE/>
              <w:autoSpaceDN/>
              <w:adjustRightInd/>
              <w:spacing w:line="259" w:lineRule="auto"/>
              <w:textAlignment w:val="auto"/>
              <w:rPr>
                <w:lang w:val="en-US"/>
              </w:rPr>
            </w:pPr>
            <w:r w:rsidRPr="00B036E0">
              <w:rPr>
                <w:lang w:val="en-US"/>
              </w:rPr>
              <w:t>Spectrum allocation</w:t>
            </w:r>
          </w:p>
          <w:p w14:paraId="7655D9FC" w14:textId="77777777" w:rsidR="00DF7730" w:rsidRPr="00B036E0" w:rsidRDefault="00DF7730" w:rsidP="00DF7730">
            <w:pPr>
              <w:pStyle w:val="BodyText"/>
              <w:widowControl w:val="0"/>
              <w:numPr>
                <w:ilvl w:val="1"/>
                <w:numId w:val="25"/>
              </w:numPr>
              <w:suppressAutoHyphens/>
              <w:overflowPunct/>
              <w:autoSpaceDE/>
              <w:autoSpaceDN/>
              <w:adjustRightInd/>
              <w:spacing w:line="259" w:lineRule="auto"/>
              <w:textAlignment w:val="auto"/>
              <w:rPr>
                <w:lang w:val="en-US"/>
              </w:rPr>
            </w:pPr>
            <w:r w:rsidRPr="00B036E0">
              <w:rPr>
                <w:lang w:val="en-US"/>
              </w:rPr>
              <w:t>smallest maximum supported RF and BB UE BW without spectrum aggregation</w:t>
            </w:r>
          </w:p>
          <w:p w14:paraId="56989AB2" w14:textId="77777777" w:rsidR="00DF7730" w:rsidRPr="00B036E0" w:rsidRDefault="00DF7730" w:rsidP="00DF7730">
            <w:pPr>
              <w:pStyle w:val="BodyText"/>
              <w:widowControl w:val="0"/>
              <w:numPr>
                <w:ilvl w:val="1"/>
                <w:numId w:val="25"/>
              </w:numPr>
              <w:suppressAutoHyphens/>
              <w:overflowPunct/>
              <w:autoSpaceDE/>
              <w:autoSpaceDN/>
              <w:adjustRightInd/>
              <w:spacing w:line="259" w:lineRule="auto"/>
              <w:textAlignment w:val="auto"/>
              <w:rPr>
                <w:lang w:val="en-US"/>
              </w:rPr>
            </w:pPr>
            <w:r w:rsidRPr="00B036E0">
              <w:rPr>
                <w:lang w:val="en-US"/>
              </w:rPr>
              <w:t>mobile broadband service requirements as high priority</w:t>
            </w:r>
          </w:p>
          <w:p w14:paraId="37738C23" w14:textId="77777777" w:rsidR="00DF7730" w:rsidRPr="00B036E0" w:rsidRDefault="00DF7730" w:rsidP="00DF7730">
            <w:pPr>
              <w:pStyle w:val="BodyText"/>
              <w:widowControl w:val="0"/>
              <w:numPr>
                <w:ilvl w:val="1"/>
                <w:numId w:val="25"/>
              </w:numPr>
              <w:suppressAutoHyphens/>
              <w:overflowPunct/>
              <w:autoSpaceDE/>
              <w:autoSpaceDN/>
              <w:adjustRightInd/>
              <w:spacing w:line="259" w:lineRule="auto"/>
              <w:textAlignment w:val="auto"/>
              <w:rPr>
                <w:lang w:val="en-US"/>
              </w:rPr>
            </w:pPr>
            <w:r w:rsidRPr="00B036E0">
              <w:rPr>
                <w:lang w:val="en-US"/>
              </w:rPr>
              <w:t>Energy efficiency for both BS and UE</w:t>
            </w:r>
          </w:p>
          <w:p w14:paraId="66D3DCA6" w14:textId="77777777" w:rsidR="00DF7730" w:rsidRPr="00B036E0" w:rsidRDefault="00DF7730" w:rsidP="00DF7730">
            <w:pPr>
              <w:pStyle w:val="BodyText"/>
              <w:widowControl w:val="0"/>
              <w:numPr>
                <w:ilvl w:val="1"/>
                <w:numId w:val="25"/>
              </w:numPr>
              <w:suppressAutoHyphens/>
              <w:overflowPunct/>
              <w:autoSpaceDE/>
              <w:autoSpaceDN/>
              <w:adjustRightInd/>
              <w:spacing w:line="259" w:lineRule="auto"/>
              <w:textAlignment w:val="auto"/>
              <w:rPr>
                <w:lang w:val="en-US"/>
              </w:rPr>
            </w:pPr>
            <w:r w:rsidRPr="00B036E0">
              <w:rPr>
                <w:lang w:val="en-US"/>
              </w:rPr>
              <w:t>Detection/tracking performance, latency, and complexity</w:t>
            </w:r>
          </w:p>
          <w:p w14:paraId="68C4C683" w14:textId="77777777" w:rsidR="00DF7730" w:rsidRPr="00B036E0" w:rsidRDefault="00DF7730" w:rsidP="00DF7730">
            <w:pPr>
              <w:pStyle w:val="BodyText"/>
              <w:widowControl w:val="0"/>
              <w:numPr>
                <w:ilvl w:val="2"/>
                <w:numId w:val="25"/>
              </w:numPr>
              <w:suppressAutoHyphens/>
              <w:overflowPunct/>
              <w:autoSpaceDE/>
              <w:autoSpaceDN/>
              <w:adjustRightInd/>
              <w:spacing w:line="259" w:lineRule="auto"/>
              <w:textAlignment w:val="auto"/>
              <w:rPr>
                <w:lang w:val="en-US"/>
              </w:rPr>
            </w:pPr>
            <w:r w:rsidRPr="00B036E0">
              <w:rPr>
                <w:lang w:val="en-US"/>
              </w:rPr>
              <w:t>Including initial cell search</w:t>
            </w:r>
          </w:p>
          <w:p w14:paraId="6000733E" w14:textId="77777777" w:rsidR="00DF7730" w:rsidRPr="00B036E0" w:rsidRDefault="00DF7730" w:rsidP="00DF7730">
            <w:pPr>
              <w:pStyle w:val="BodyText"/>
              <w:widowControl w:val="0"/>
              <w:numPr>
                <w:ilvl w:val="1"/>
                <w:numId w:val="25"/>
              </w:numPr>
              <w:suppressAutoHyphens/>
              <w:overflowPunct/>
              <w:autoSpaceDE/>
              <w:autoSpaceDN/>
              <w:adjustRightInd/>
              <w:spacing w:line="259" w:lineRule="auto"/>
              <w:textAlignment w:val="auto"/>
              <w:rPr>
                <w:lang w:val="en-US"/>
              </w:rPr>
            </w:pPr>
            <w:r w:rsidRPr="00B036E0">
              <w:rPr>
                <w:lang w:val="en-US"/>
              </w:rPr>
              <w:t>Coverage target</w:t>
            </w:r>
          </w:p>
          <w:p w14:paraId="0C5201B2" w14:textId="77777777" w:rsidR="00DF7730" w:rsidRPr="00B036E0" w:rsidRDefault="00DF7730" w:rsidP="00DF7730">
            <w:pPr>
              <w:pStyle w:val="BodyText"/>
              <w:widowControl w:val="0"/>
              <w:numPr>
                <w:ilvl w:val="1"/>
                <w:numId w:val="25"/>
              </w:numPr>
              <w:suppressAutoHyphens/>
              <w:overflowPunct/>
              <w:autoSpaceDE/>
              <w:autoSpaceDN/>
              <w:adjustRightInd/>
              <w:spacing w:line="259" w:lineRule="auto"/>
              <w:textAlignment w:val="auto"/>
              <w:rPr>
                <w:lang w:val="en-US"/>
              </w:rPr>
            </w:pPr>
            <w:r w:rsidRPr="00B036E0">
              <w:rPr>
                <w:lang w:val="en-US"/>
              </w:rPr>
              <w:t>Common design for diverse device types</w:t>
            </w:r>
          </w:p>
          <w:p w14:paraId="4117B9EB" w14:textId="77777777" w:rsidR="00DF7730" w:rsidRPr="00B036E0" w:rsidRDefault="00DF7730" w:rsidP="00DF7730">
            <w:pPr>
              <w:pStyle w:val="BodyText"/>
              <w:widowControl w:val="0"/>
              <w:numPr>
                <w:ilvl w:val="1"/>
                <w:numId w:val="25"/>
              </w:numPr>
              <w:suppressAutoHyphens/>
              <w:overflowPunct/>
              <w:autoSpaceDE/>
              <w:autoSpaceDN/>
              <w:adjustRightInd/>
              <w:spacing w:line="259" w:lineRule="auto"/>
              <w:textAlignment w:val="auto"/>
              <w:rPr>
                <w:lang w:val="en-US"/>
              </w:rPr>
            </w:pPr>
            <w:r w:rsidRPr="00B036E0">
              <w:rPr>
                <w:lang w:val="en-US"/>
              </w:rPr>
              <w:t>Consideration of the supported deployment</w:t>
            </w:r>
          </w:p>
          <w:p w14:paraId="46444550" w14:textId="77777777" w:rsidR="00DF7730" w:rsidRPr="00B036E0" w:rsidRDefault="00DF7730" w:rsidP="00DF7730">
            <w:pPr>
              <w:pStyle w:val="BodyText"/>
              <w:widowControl w:val="0"/>
              <w:numPr>
                <w:ilvl w:val="1"/>
                <w:numId w:val="25"/>
              </w:numPr>
              <w:suppressAutoHyphens/>
              <w:overflowPunct/>
              <w:autoSpaceDE/>
              <w:autoSpaceDN/>
              <w:adjustRightInd/>
              <w:spacing w:line="259" w:lineRule="auto"/>
              <w:textAlignment w:val="auto"/>
              <w:rPr>
                <w:lang w:val="en-US"/>
              </w:rPr>
            </w:pPr>
            <w:r w:rsidRPr="00B036E0">
              <w:rPr>
                <w:lang w:val="en-US"/>
              </w:rPr>
              <w:t xml:space="preserve">Consideration on whether the </w:t>
            </w:r>
            <w:r w:rsidRPr="00B036E0">
              <w:rPr>
                <w:rFonts w:eastAsiaTheme="minorEastAsia"/>
                <w:lang w:val="en-US" w:eastAsia="zh-CN"/>
              </w:rPr>
              <w:t>single</w:t>
            </w:r>
            <w:r w:rsidRPr="00B036E0">
              <w:rPr>
                <w:lang w:val="en-US"/>
              </w:rPr>
              <w:t xml:space="preserve"> sync</w:t>
            </w:r>
            <w:r w:rsidRPr="00B036E0">
              <w:rPr>
                <w:rFonts w:eastAsiaTheme="minorEastAsia"/>
                <w:lang w:val="en-US" w:eastAsia="zh-CN"/>
              </w:rPr>
              <w:t xml:space="preserve"> signal structure</w:t>
            </w:r>
            <w:r w:rsidRPr="00B036E0">
              <w:rPr>
                <w:lang w:val="en-US"/>
              </w:rPr>
              <w:t xml:space="preserve"> is</w:t>
            </w:r>
            <w:r w:rsidRPr="00B036E0">
              <w:rPr>
                <w:rFonts w:eastAsiaTheme="minorEastAsia"/>
                <w:lang w:val="en-US" w:eastAsia="zh-CN"/>
              </w:rPr>
              <w:t xml:space="preserve"> sufficient</w:t>
            </w:r>
          </w:p>
          <w:p w14:paraId="4423D8D7" w14:textId="77777777" w:rsidR="00DF7730" w:rsidRPr="00B036E0" w:rsidRDefault="00DF7730" w:rsidP="00DF7730">
            <w:pPr>
              <w:pStyle w:val="BodyText"/>
              <w:widowControl w:val="0"/>
              <w:numPr>
                <w:ilvl w:val="1"/>
                <w:numId w:val="25"/>
              </w:numPr>
              <w:suppressAutoHyphens/>
              <w:overflowPunct/>
              <w:autoSpaceDE/>
              <w:autoSpaceDN/>
              <w:adjustRightInd/>
              <w:spacing w:line="259" w:lineRule="auto"/>
              <w:textAlignment w:val="auto"/>
              <w:rPr>
                <w:sz w:val="21"/>
                <w:szCs w:val="21"/>
                <w:lang w:val="en-US"/>
              </w:rPr>
            </w:pPr>
            <w:r w:rsidRPr="00B036E0">
              <w:rPr>
                <w:lang w:val="en-US"/>
              </w:rPr>
              <w:t xml:space="preserve">Note: Aspects impacting on the periodicity </w:t>
            </w:r>
            <w:proofErr w:type="gramStart"/>
            <w:r w:rsidRPr="00B036E0">
              <w:rPr>
                <w:lang w:val="en-US"/>
              </w:rPr>
              <w:t>is</w:t>
            </w:r>
            <w:proofErr w:type="gramEnd"/>
            <w:r w:rsidRPr="00B036E0">
              <w:rPr>
                <w:lang w:val="en-US"/>
              </w:rPr>
              <w:t xml:space="preserve"> to be discussed under AI11.5</w:t>
            </w:r>
          </w:p>
        </w:tc>
      </w:tr>
    </w:tbl>
    <w:p w14:paraId="4B4B0839" w14:textId="77777777" w:rsidR="00DF7730" w:rsidRPr="00B036E0" w:rsidRDefault="00DF7730" w:rsidP="00DF7730">
      <w:pPr>
        <w:pStyle w:val="BodyText"/>
        <w:suppressAutoHyphens/>
        <w:overflowPunct/>
        <w:autoSpaceDE/>
        <w:autoSpaceDN/>
        <w:adjustRightInd/>
        <w:spacing w:line="259" w:lineRule="auto"/>
        <w:textAlignment w:val="auto"/>
        <w:rPr>
          <w:sz w:val="21"/>
          <w:szCs w:val="21"/>
          <w:lang w:val="en-US"/>
        </w:rPr>
      </w:pPr>
    </w:p>
    <w:p w14:paraId="1887425C" w14:textId="77777777" w:rsidR="00DF7730" w:rsidRPr="00B036E0" w:rsidRDefault="00DF7730" w:rsidP="00DF7730">
      <w:pPr>
        <w:rPr>
          <w:rFonts w:eastAsia="Times New Roman"/>
          <w:lang w:val="en-US" w:eastAsia="en-GB"/>
        </w:rPr>
      </w:pPr>
      <w:r w:rsidRPr="00B036E0">
        <w:rPr>
          <w:rFonts w:eastAsia="Times New Roman"/>
          <w:lang w:val="en-US" w:eastAsia="en-GB"/>
        </w:rPr>
        <w:t>The SSB design and initial access procedure are fundamental components of the 6G radio (6GR) physical layer. They are difficult to modify or optimize in later releases once standardized. Therefore, it is essential that 6GR considers the design of SSB and related initial access mechanisms at an early stage of the study.</w:t>
      </w:r>
    </w:p>
    <w:p w14:paraId="18097A1F" w14:textId="77777777" w:rsidR="00DF7730" w:rsidRPr="00B036E0" w:rsidRDefault="00DF7730" w:rsidP="00DF7730">
      <w:pPr>
        <w:rPr>
          <w:rFonts w:eastAsia="Times New Roman"/>
          <w:lang w:val="en-US" w:eastAsia="en-GB"/>
        </w:rPr>
      </w:pPr>
      <w:r w:rsidRPr="00B036E0">
        <w:rPr>
          <w:rFonts w:eastAsia="Times New Roman"/>
          <w:lang w:val="en-US" w:eastAsia="en-GB"/>
        </w:rPr>
        <w:t xml:space="preserve">In 5G NR, always-on signals such as SSBs with fixed 20 </w:t>
      </w:r>
      <w:proofErr w:type="spellStart"/>
      <w:r w:rsidRPr="00B036E0">
        <w:rPr>
          <w:rFonts w:eastAsia="Times New Roman"/>
          <w:lang w:val="en-US" w:eastAsia="en-GB"/>
        </w:rPr>
        <w:t>ms</w:t>
      </w:r>
      <w:proofErr w:type="spellEnd"/>
      <w:r w:rsidRPr="00B036E0">
        <w:rPr>
          <w:rFonts w:eastAsia="Times New Roman"/>
          <w:lang w:val="en-US" w:eastAsia="en-GB"/>
        </w:rPr>
        <w:t xml:space="preserve"> periodicity have been identified as one of the major contributors to network power consumption, preventing the base station from entering deep sleep modes. To enable network energy saving “from Day-1,” SSB transmissions with higher periodicities (e.g., 80 </w:t>
      </w:r>
      <w:proofErr w:type="spellStart"/>
      <w:r w:rsidRPr="00B036E0">
        <w:rPr>
          <w:rFonts w:eastAsia="Times New Roman"/>
          <w:lang w:val="en-US" w:eastAsia="en-GB"/>
        </w:rPr>
        <w:t>ms</w:t>
      </w:r>
      <w:proofErr w:type="spellEnd"/>
      <w:r w:rsidRPr="00B036E0">
        <w:rPr>
          <w:rFonts w:eastAsia="Times New Roman"/>
          <w:lang w:val="en-US" w:eastAsia="en-GB"/>
        </w:rPr>
        <w:t xml:space="preserve">, 160 </w:t>
      </w:r>
      <w:proofErr w:type="spellStart"/>
      <w:r w:rsidRPr="00B036E0">
        <w:rPr>
          <w:rFonts w:eastAsia="Times New Roman"/>
          <w:lang w:val="en-US" w:eastAsia="en-GB"/>
        </w:rPr>
        <w:t>ms</w:t>
      </w:r>
      <w:proofErr w:type="spellEnd"/>
      <w:r w:rsidRPr="00B036E0">
        <w:rPr>
          <w:rFonts w:eastAsia="Times New Roman"/>
          <w:lang w:val="en-US" w:eastAsia="en-GB"/>
        </w:rPr>
        <w:t>) should be studied to allow the network to operate in low-power states while maintaining reliable access.</w:t>
      </w:r>
    </w:p>
    <w:p w14:paraId="4484079D" w14:textId="335BE65B" w:rsidR="00083053" w:rsidRPr="00B036E0" w:rsidRDefault="00DF7730" w:rsidP="00921AA6">
      <w:pPr>
        <w:pStyle w:val="ListParagraph"/>
        <w:numPr>
          <w:ilvl w:val="0"/>
          <w:numId w:val="10"/>
        </w:numPr>
        <w:spacing w:after="180"/>
        <w:ind w:left="0" w:firstLine="0"/>
        <w:contextualSpacing w:val="0"/>
        <w:rPr>
          <w:b/>
          <w:bCs/>
          <w:i/>
          <w:iCs/>
          <w:sz w:val="20"/>
          <w:szCs w:val="20"/>
          <w:lang w:val="en-US"/>
        </w:rPr>
      </w:pPr>
      <w:r w:rsidRPr="00B036E0">
        <w:rPr>
          <w:b/>
          <w:bCs/>
          <w:i/>
          <w:iCs/>
          <w:sz w:val="20"/>
          <w:szCs w:val="20"/>
          <w:lang w:val="en-US"/>
        </w:rPr>
        <w:t xml:space="preserve">SSB transmissions with higher periodicities (e.g., 80 </w:t>
      </w:r>
      <w:proofErr w:type="spellStart"/>
      <w:r w:rsidRPr="00B036E0">
        <w:rPr>
          <w:b/>
          <w:bCs/>
          <w:i/>
          <w:iCs/>
          <w:sz w:val="20"/>
          <w:szCs w:val="20"/>
          <w:lang w:val="en-US"/>
        </w:rPr>
        <w:t>ms</w:t>
      </w:r>
      <w:proofErr w:type="spellEnd"/>
      <w:r w:rsidRPr="00B036E0">
        <w:rPr>
          <w:b/>
          <w:bCs/>
          <w:i/>
          <w:iCs/>
          <w:sz w:val="20"/>
          <w:szCs w:val="20"/>
          <w:lang w:val="en-US"/>
        </w:rPr>
        <w:t xml:space="preserve">, 160 </w:t>
      </w:r>
      <w:proofErr w:type="spellStart"/>
      <w:r w:rsidRPr="00B036E0">
        <w:rPr>
          <w:b/>
          <w:bCs/>
          <w:i/>
          <w:iCs/>
          <w:sz w:val="20"/>
          <w:szCs w:val="20"/>
          <w:lang w:val="en-US"/>
        </w:rPr>
        <w:t>ms</w:t>
      </w:r>
      <w:proofErr w:type="spellEnd"/>
      <w:r w:rsidRPr="00B036E0">
        <w:rPr>
          <w:b/>
          <w:bCs/>
          <w:i/>
          <w:iCs/>
          <w:sz w:val="20"/>
          <w:szCs w:val="20"/>
          <w:lang w:val="en-US"/>
        </w:rPr>
        <w:t>) should be considered to enhance network energy efficiency and enable deeper network sleep modes.</w:t>
      </w:r>
    </w:p>
    <w:p w14:paraId="09E403FD" w14:textId="6031EF45" w:rsidR="00083053" w:rsidRPr="00B036E0" w:rsidRDefault="00DF7730" w:rsidP="00083053">
      <w:pPr>
        <w:rPr>
          <w:lang w:val="en-US" w:eastAsia="zh-CN"/>
        </w:rPr>
      </w:pPr>
      <w:r w:rsidRPr="00B036E0">
        <w:rPr>
          <w:lang w:val="en-US" w:eastAsia="zh-CN"/>
        </w:rPr>
        <w:t xml:space="preserve">While increasing SSB transmission periodicity improves network energy efficiency, it can negatively affect SSB detection performance, particularly for UEs under poor channel conditions (e.g., cell-edge or blocked UEs). To mitigate this </w:t>
      </w:r>
      <w:r w:rsidRPr="00B036E0">
        <w:rPr>
          <w:lang w:val="en-US" w:eastAsia="zh-CN"/>
        </w:rPr>
        <w:lastRenderedPageBreak/>
        <w:t>degradation, combining multiple SSB receptions or introducing SSB burst repetition can significantly enhance detection probability and reduce access latency. SSB repetition per transmission period can balance the trade-off between energy efficiency and reliable detection.</w:t>
      </w:r>
    </w:p>
    <w:p w14:paraId="6D66DA79" w14:textId="5DB3D0F2" w:rsidR="00DF7730" w:rsidRPr="00B036E0" w:rsidRDefault="00DF7730" w:rsidP="00DF7730">
      <w:pPr>
        <w:pStyle w:val="ListParagraph"/>
        <w:numPr>
          <w:ilvl w:val="0"/>
          <w:numId w:val="10"/>
        </w:numPr>
        <w:spacing w:after="180"/>
        <w:ind w:left="0" w:firstLine="0"/>
        <w:contextualSpacing w:val="0"/>
        <w:rPr>
          <w:b/>
          <w:bCs/>
          <w:i/>
          <w:iCs/>
          <w:sz w:val="20"/>
          <w:szCs w:val="20"/>
          <w:lang w:val="en-US"/>
        </w:rPr>
      </w:pPr>
      <w:r w:rsidRPr="00B036E0">
        <w:rPr>
          <w:b/>
          <w:bCs/>
          <w:i/>
          <w:iCs/>
          <w:sz w:val="20"/>
          <w:szCs w:val="20"/>
          <w:lang w:val="en-US"/>
        </w:rPr>
        <w:t>Consider SSB repetitions within each transmission period to improve SSB detection performance and reduce initial access latency, especially for UEs in poor channel conditions.</w:t>
      </w:r>
    </w:p>
    <w:p w14:paraId="49A267DF" w14:textId="75C2E65E" w:rsidR="00DF7730" w:rsidRPr="00B036E0" w:rsidRDefault="00DF7730" w:rsidP="00DF7730">
      <w:pPr>
        <w:rPr>
          <w:lang w:val="en-US" w:eastAsia="zh-CN"/>
        </w:rPr>
      </w:pPr>
      <w:r w:rsidRPr="00B036E0">
        <w:rPr>
          <w:lang w:val="en-US" w:eastAsia="zh-CN"/>
        </w:rPr>
        <w:t>In LTE, the synchronization raster was aligned with the channel raster (100 kHz). However, in NR, due to the large bandwidth and wider operating range, maintaining such a fine raster would result in excessive detection points, leading to higher complexity and longer detection times. Therefore, NR introduced a coarser sync raster (e.g., 1.44 MHz in FR1, 17.28 MHz in FR2).</w:t>
      </w:r>
    </w:p>
    <w:p w14:paraId="0AA26212" w14:textId="7677AF2C" w:rsidR="00DF7730" w:rsidRPr="00B036E0" w:rsidRDefault="00DF7730" w:rsidP="00DF7730">
      <w:pPr>
        <w:rPr>
          <w:lang w:val="en-US" w:eastAsia="zh-CN"/>
        </w:rPr>
      </w:pPr>
      <w:r w:rsidRPr="00B036E0">
        <w:rPr>
          <w:lang w:val="en-US" w:eastAsia="zh-CN"/>
        </w:rPr>
        <w:t>For 6GR, with even wider bandwidth and larger frequency ranges, further coarsening of the sync raster should be studied to reduce UE search complexity and detection latency.</w:t>
      </w:r>
    </w:p>
    <w:p w14:paraId="5B5D419E" w14:textId="5494D679" w:rsidR="00EF651C" w:rsidRPr="00B036E0" w:rsidRDefault="00EF651C" w:rsidP="00EF651C">
      <w:pPr>
        <w:pStyle w:val="ListParagraph"/>
        <w:numPr>
          <w:ilvl w:val="0"/>
          <w:numId w:val="10"/>
        </w:numPr>
        <w:spacing w:after="180"/>
        <w:ind w:left="0" w:firstLine="0"/>
        <w:contextualSpacing w:val="0"/>
        <w:rPr>
          <w:b/>
          <w:bCs/>
          <w:i/>
          <w:iCs/>
          <w:sz w:val="20"/>
          <w:szCs w:val="20"/>
          <w:lang w:val="en-US"/>
        </w:rPr>
      </w:pPr>
      <w:r w:rsidRPr="00B036E0">
        <w:rPr>
          <w:b/>
          <w:bCs/>
          <w:i/>
          <w:iCs/>
          <w:sz w:val="20"/>
          <w:szCs w:val="20"/>
          <w:lang w:val="en-US"/>
        </w:rPr>
        <w:t>6GR should consider a coarser synchronization raster than 5G NR to reduce UE search complexity and initial access latency.</w:t>
      </w:r>
    </w:p>
    <w:p w14:paraId="57C8DE1B" w14:textId="152A7109" w:rsidR="00EF651C" w:rsidRPr="00B036E0" w:rsidRDefault="00EF651C" w:rsidP="00EF651C">
      <w:pPr>
        <w:rPr>
          <w:lang w:val="en-US" w:eastAsia="zh-CN"/>
        </w:rPr>
      </w:pPr>
      <w:r w:rsidRPr="00B036E0">
        <w:rPr>
          <w:lang w:val="en-US" w:eastAsia="zh-CN"/>
        </w:rPr>
        <w:t xml:space="preserve">In NR, the SSB design was initially optimized for </w:t>
      </w:r>
      <w:proofErr w:type="spellStart"/>
      <w:r w:rsidRPr="00B036E0">
        <w:rPr>
          <w:lang w:val="en-US" w:eastAsia="zh-CN"/>
        </w:rPr>
        <w:t>eMBB</w:t>
      </w:r>
      <w:proofErr w:type="spellEnd"/>
      <w:r w:rsidRPr="00B036E0">
        <w:rPr>
          <w:lang w:val="en-US" w:eastAsia="zh-CN"/>
        </w:rPr>
        <w:t xml:space="preserve"> UEs. Later introduction of reduced-capability devices (e.g., </w:t>
      </w:r>
      <w:proofErr w:type="spellStart"/>
      <w:r w:rsidRPr="00B036E0">
        <w:rPr>
          <w:lang w:val="en-US" w:eastAsia="zh-CN"/>
        </w:rPr>
        <w:t>RedCap</w:t>
      </w:r>
      <w:proofErr w:type="spellEnd"/>
      <w:r w:rsidRPr="00B036E0">
        <w:rPr>
          <w:lang w:val="en-US" w:eastAsia="zh-CN"/>
        </w:rPr>
        <w:t>) revealed that the fixed SSB bandwidth was not scalable. Techniques like punctured SSBs were introduced in Rel-18 but caused performance degradation.</w:t>
      </w:r>
    </w:p>
    <w:p w14:paraId="23AB2E48" w14:textId="4FFD9B88" w:rsidR="00EF651C" w:rsidRPr="00B036E0" w:rsidRDefault="00EF651C" w:rsidP="00EF651C">
      <w:pPr>
        <w:rPr>
          <w:lang w:val="en-US" w:eastAsia="zh-CN"/>
        </w:rPr>
      </w:pPr>
      <w:r w:rsidRPr="00B036E0">
        <w:rPr>
          <w:lang w:val="en-US" w:eastAsia="zh-CN"/>
        </w:rPr>
        <w:t>For 6GR, the SSB bandwidth design must inherently support scalable operation across diverse device types while maintaining detection performance comparable to or better than NR. Time-domain enhancements, such as repetition, can be used to compensate for performance loss due to reduced bandwidth in low-capability UEs.</w:t>
      </w:r>
    </w:p>
    <w:p w14:paraId="74C58370" w14:textId="4AFD34A1" w:rsidR="00DF7730" w:rsidRPr="00B036E0" w:rsidRDefault="00DF7730" w:rsidP="00DF7730">
      <w:pPr>
        <w:pStyle w:val="ListParagraph"/>
        <w:numPr>
          <w:ilvl w:val="0"/>
          <w:numId w:val="10"/>
        </w:numPr>
        <w:spacing w:after="180"/>
        <w:ind w:left="0" w:firstLine="0"/>
        <w:contextualSpacing w:val="0"/>
        <w:rPr>
          <w:b/>
          <w:bCs/>
          <w:i/>
          <w:iCs/>
          <w:sz w:val="20"/>
          <w:szCs w:val="20"/>
          <w:lang w:val="en-US"/>
        </w:rPr>
      </w:pPr>
      <w:r w:rsidRPr="00B036E0">
        <w:rPr>
          <w:b/>
          <w:bCs/>
          <w:i/>
          <w:iCs/>
          <w:sz w:val="20"/>
          <w:szCs w:val="20"/>
          <w:lang w:val="en-US"/>
        </w:rPr>
        <w:t>Study scalable SSB designs to support diverse device types and ensure detection performance at least equivalent to 5G NR, leveraging time-domain techniques (e.g., repetition) where necessary.</w:t>
      </w:r>
    </w:p>
    <w:p w14:paraId="585049B6" w14:textId="77025F23" w:rsidR="00DF7730" w:rsidRPr="00B036E0" w:rsidRDefault="00DF7730" w:rsidP="00DF7730">
      <w:pPr>
        <w:rPr>
          <w:lang w:val="en-US" w:eastAsia="zh-CN"/>
        </w:rPr>
      </w:pPr>
      <w:r w:rsidRPr="00B036E0">
        <w:rPr>
          <w:lang w:val="en-US" w:eastAsia="zh-CN"/>
        </w:rPr>
        <w:t>During initial access, advanced techniques such as beam refinement, interference cancellation, or AI-based channel estimation cannot be fully utilized, as synchronization and timing have not yet been established. As a result, IA remains one of the most challenging phases to enhance once standardized. For 6GR, it is essential to explore how simplified or predictive versions of these techniques can be applied during IA to enhance detection reliability and reduce access latency.</w:t>
      </w:r>
    </w:p>
    <w:p w14:paraId="677270DA" w14:textId="26A296D4" w:rsidR="00DF7730" w:rsidRPr="00B036E0" w:rsidRDefault="00DF7730" w:rsidP="00DF7730">
      <w:pPr>
        <w:pStyle w:val="ListParagraph"/>
        <w:numPr>
          <w:ilvl w:val="0"/>
          <w:numId w:val="10"/>
        </w:numPr>
        <w:spacing w:after="180"/>
        <w:ind w:left="0" w:firstLine="0"/>
        <w:contextualSpacing w:val="0"/>
        <w:rPr>
          <w:b/>
          <w:bCs/>
          <w:i/>
          <w:iCs/>
          <w:sz w:val="20"/>
          <w:szCs w:val="20"/>
          <w:lang w:val="en-US"/>
        </w:rPr>
      </w:pPr>
      <w:r w:rsidRPr="00B036E0">
        <w:rPr>
          <w:b/>
          <w:bCs/>
          <w:i/>
          <w:iCs/>
          <w:sz w:val="20"/>
          <w:szCs w:val="20"/>
          <w:lang w:val="en-US"/>
        </w:rPr>
        <w:t>Study the feasibility of applying simplified or predictive advanced techniques (e.g., AI-assisted or cooperative detection) to enhance SSB and initial access performance without increasing complexity.</w:t>
      </w:r>
    </w:p>
    <w:p w14:paraId="7B4AB707" w14:textId="0FCC812B" w:rsidR="00C87797" w:rsidRPr="00B036E0" w:rsidRDefault="00631043" w:rsidP="00103A28">
      <w:pPr>
        <w:pStyle w:val="Heading2"/>
        <w:rPr>
          <w:lang w:val="en-US"/>
        </w:rPr>
      </w:pPr>
      <w:bookmarkStart w:id="8" w:name="_Toc213409714"/>
      <w:r w:rsidRPr="00B036E0">
        <w:rPr>
          <w:lang w:val="en-US"/>
        </w:rPr>
        <w:t>MRSS</w:t>
      </w:r>
      <w:bookmarkEnd w:id="8"/>
    </w:p>
    <w:p w14:paraId="4EB6E09A" w14:textId="199788C6" w:rsidR="00631043" w:rsidRPr="00B036E0" w:rsidRDefault="00631043" w:rsidP="00631043">
      <w:pPr>
        <w:rPr>
          <w:lang w:val="en-US" w:eastAsia="zh-CN"/>
        </w:rPr>
      </w:pPr>
      <w:bookmarkStart w:id="9" w:name="_Hlk210298364"/>
      <w:r w:rsidRPr="00B036E0">
        <w:rPr>
          <w:lang w:val="en-US" w:eastAsia="zh-CN"/>
        </w:rPr>
        <w:t xml:space="preserve">In previous RAN1#122bis meeting the following proposal has been made </w:t>
      </w:r>
      <w:sdt>
        <w:sdtPr>
          <w:rPr>
            <w:lang w:val="en-US" w:eastAsia="zh-CN"/>
          </w:rPr>
          <w:id w:val="-286353664"/>
          <w:citation/>
        </w:sdtPr>
        <w:sdtEndPr/>
        <w:sdtContent>
          <w:r w:rsidRPr="00B036E0">
            <w:rPr>
              <w:lang w:val="en-US" w:eastAsia="zh-CN"/>
            </w:rPr>
            <w:fldChar w:fldCharType="begin"/>
          </w:r>
          <w:r w:rsidRPr="00B036E0">
            <w:rPr>
              <w:lang w:val="en-US" w:eastAsia="zh-CN"/>
            </w:rPr>
            <w:instrText xml:space="preserve"> CITATION 3GP1 \l 1033 </w:instrText>
          </w:r>
          <w:r w:rsidRPr="00B036E0">
            <w:rPr>
              <w:lang w:val="en-US" w:eastAsia="zh-CN"/>
            </w:rPr>
            <w:fldChar w:fldCharType="separate"/>
          </w:r>
          <w:r w:rsidR="007E07C0" w:rsidRPr="00B036E0">
            <w:rPr>
              <w:noProof/>
              <w:lang w:val="en-US" w:eastAsia="zh-CN"/>
            </w:rPr>
            <w:t>[1]</w:t>
          </w:r>
          <w:r w:rsidRPr="00B036E0">
            <w:rPr>
              <w:lang w:val="en-US" w:eastAsia="zh-CN"/>
            </w:rPr>
            <w:fldChar w:fldCharType="end"/>
          </w:r>
        </w:sdtContent>
      </w:sdt>
      <w:r w:rsidRPr="00B036E0">
        <w:rPr>
          <w:lang w:val="en-US" w:eastAsia="zh-CN"/>
        </w:rPr>
        <w:t>:</w:t>
      </w:r>
    </w:p>
    <w:tbl>
      <w:tblPr>
        <w:tblStyle w:val="TableGrid"/>
        <w:tblW w:w="0" w:type="auto"/>
        <w:tblLook w:val="04A0" w:firstRow="1" w:lastRow="0" w:firstColumn="1" w:lastColumn="0" w:noHBand="0" w:noVBand="1"/>
      </w:tblPr>
      <w:tblGrid>
        <w:gridCol w:w="9630"/>
      </w:tblGrid>
      <w:tr w:rsidR="00631043" w:rsidRPr="00B036E0" w14:paraId="3D553B1D" w14:textId="77777777" w:rsidTr="00712A6F">
        <w:tc>
          <w:tcPr>
            <w:tcW w:w="9630" w:type="dxa"/>
          </w:tcPr>
          <w:p w14:paraId="58D35C9E" w14:textId="77777777" w:rsidR="00631043" w:rsidRPr="00B036E0" w:rsidRDefault="00631043" w:rsidP="00712A6F">
            <w:pPr>
              <w:pStyle w:val="BodyText"/>
              <w:rPr>
                <w:b/>
                <w:bCs/>
                <w:lang w:val="en-US"/>
              </w:rPr>
            </w:pPr>
            <w:r w:rsidRPr="00B036E0">
              <w:rPr>
                <w:b/>
                <w:bCs/>
                <w:highlight w:val="yellow"/>
                <w:lang w:val="en-US"/>
              </w:rPr>
              <w:t>Proposal 6.2b:</w:t>
            </w:r>
          </w:p>
          <w:p w14:paraId="3F951016" w14:textId="77777777" w:rsidR="00631043" w:rsidRPr="00B036E0" w:rsidRDefault="00631043" w:rsidP="00631043">
            <w:pPr>
              <w:pStyle w:val="BodyText"/>
              <w:numPr>
                <w:ilvl w:val="0"/>
                <w:numId w:val="26"/>
              </w:numPr>
              <w:suppressAutoHyphens/>
              <w:overflowPunct/>
              <w:autoSpaceDE/>
              <w:autoSpaceDN/>
              <w:adjustRightInd/>
              <w:spacing w:line="259" w:lineRule="auto"/>
              <w:textAlignment w:val="auto"/>
              <w:rPr>
                <w:lang w:val="en-US"/>
              </w:rPr>
            </w:pPr>
            <w:r w:rsidRPr="00B036E0">
              <w:rPr>
                <w:lang w:val="en-US"/>
              </w:rPr>
              <w:t>High-level aspects to consider for NR-6GR MRSS include, but not limited to</w:t>
            </w:r>
          </w:p>
          <w:p w14:paraId="5496EB0A" w14:textId="77777777" w:rsidR="00631043" w:rsidRPr="00B036E0" w:rsidRDefault="00631043" w:rsidP="00631043">
            <w:pPr>
              <w:pStyle w:val="BodyText"/>
              <w:numPr>
                <w:ilvl w:val="1"/>
                <w:numId w:val="26"/>
              </w:numPr>
              <w:suppressAutoHyphens/>
              <w:overflowPunct/>
              <w:autoSpaceDE/>
              <w:autoSpaceDN/>
              <w:adjustRightInd/>
              <w:spacing w:line="259" w:lineRule="auto"/>
              <w:textAlignment w:val="auto"/>
              <w:rPr>
                <w:lang w:val="en-US"/>
              </w:rPr>
            </w:pPr>
            <w:r w:rsidRPr="00B036E0">
              <w:rPr>
                <w:lang w:val="en-US"/>
              </w:rPr>
              <w:t>UE/NW implementation complexity</w:t>
            </w:r>
          </w:p>
          <w:p w14:paraId="3CC3D0AD" w14:textId="77777777" w:rsidR="00631043" w:rsidRPr="00B036E0" w:rsidRDefault="00631043" w:rsidP="00631043">
            <w:pPr>
              <w:pStyle w:val="BodyText"/>
              <w:numPr>
                <w:ilvl w:val="1"/>
                <w:numId w:val="26"/>
              </w:numPr>
              <w:suppressAutoHyphens/>
              <w:overflowPunct/>
              <w:autoSpaceDE/>
              <w:autoSpaceDN/>
              <w:adjustRightInd/>
              <w:spacing w:line="259" w:lineRule="auto"/>
              <w:textAlignment w:val="auto"/>
              <w:rPr>
                <w:lang w:val="en-US"/>
              </w:rPr>
            </w:pPr>
            <w:r w:rsidRPr="00B036E0">
              <w:rPr>
                <w:lang w:val="en-US"/>
              </w:rPr>
              <w:t>Resource allocation coordination between NR-6GR</w:t>
            </w:r>
          </w:p>
          <w:p w14:paraId="3F2941DB" w14:textId="77777777" w:rsidR="00631043" w:rsidRPr="00B036E0" w:rsidRDefault="00631043" w:rsidP="00631043">
            <w:pPr>
              <w:pStyle w:val="BodyText"/>
              <w:numPr>
                <w:ilvl w:val="2"/>
                <w:numId w:val="26"/>
              </w:numPr>
              <w:suppressAutoHyphens/>
              <w:overflowPunct/>
              <w:autoSpaceDE/>
              <w:autoSpaceDN/>
              <w:adjustRightInd/>
              <w:spacing w:line="259" w:lineRule="auto"/>
              <w:textAlignment w:val="auto"/>
              <w:rPr>
                <w:lang w:val="en-US"/>
              </w:rPr>
            </w:pPr>
            <w:r w:rsidRPr="00B036E0">
              <w:rPr>
                <w:lang w:val="en-US"/>
              </w:rPr>
              <w:t>Including whether NR and 6GR TRP are always co-located or not</w:t>
            </w:r>
          </w:p>
          <w:p w14:paraId="2CD05390" w14:textId="77777777" w:rsidR="00631043" w:rsidRPr="00B036E0" w:rsidRDefault="00631043" w:rsidP="00631043">
            <w:pPr>
              <w:pStyle w:val="BodyText"/>
              <w:numPr>
                <w:ilvl w:val="1"/>
                <w:numId w:val="26"/>
              </w:numPr>
              <w:suppressAutoHyphens/>
              <w:overflowPunct/>
              <w:autoSpaceDE/>
              <w:autoSpaceDN/>
              <w:adjustRightInd/>
              <w:spacing w:line="259" w:lineRule="auto"/>
              <w:textAlignment w:val="auto"/>
              <w:rPr>
                <w:lang w:val="en-US"/>
              </w:rPr>
            </w:pPr>
            <w:r w:rsidRPr="00B036E0">
              <w:rPr>
                <w:lang w:val="en-US"/>
              </w:rPr>
              <w:t>Radio resource utilization</w:t>
            </w:r>
          </w:p>
          <w:p w14:paraId="4F228F75" w14:textId="77777777" w:rsidR="00631043" w:rsidRPr="00B036E0" w:rsidRDefault="00631043" w:rsidP="00631043">
            <w:pPr>
              <w:pStyle w:val="BodyText"/>
              <w:numPr>
                <w:ilvl w:val="1"/>
                <w:numId w:val="26"/>
              </w:numPr>
              <w:suppressAutoHyphens/>
              <w:overflowPunct/>
              <w:autoSpaceDE/>
              <w:autoSpaceDN/>
              <w:adjustRightInd/>
              <w:spacing w:line="259" w:lineRule="auto"/>
              <w:textAlignment w:val="auto"/>
              <w:rPr>
                <w:highlight w:val="yellow"/>
                <w:lang w:val="en-US"/>
              </w:rPr>
            </w:pPr>
            <w:proofErr w:type="spellStart"/>
            <w:r w:rsidRPr="00B036E0">
              <w:rPr>
                <w:highlight w:val="yellow"/>
                <w:lang w:val="en-US"/>
              </w:rPr>
              <w:t>Signalling</w:t>
            </w:r>
            <w:proofErr w:type="spellEnd"/>
            <w:r w:rsidRPr="00B036E0">
              <w:rPr>
                <w:highlight w:val="yellow"/>
                <w:lang w:val="en-US"/>
              </w:rPr>
              <w:t xml:space="preserve"> overhead</w:t>
            </w:r>
          </w:p>
          <w:p w14:paraId="7BE654AA" w14:textId="77777777" w:rsidR="00631043" w:rsidRPr="00B036E0" w:rsidRDefault="00631043" w:rsidP="00631043">
            <w:pPr>
              <w:pStyle w:val="BodyText"/>
              <w:numPr>
                <w:ilvl w:val="1"/>
                <w:numId w:val="26"/>
              </w:numPr>
              <w:suppressAutoHyphens/>
              <w:overflowPunct/>
              <w:autoSpaceDE/>
              <w:autoSpaceDN/>
              <w:adjustRightInd/>
              <w:spacing w:line="259" w:lineRule="auto"/>
              <w:textAlignment w:val="auto"/>
              <w:rPr>
                <w:lang w:val="en-US"/>
              </w:rPr>
            </w:pPr>
            <w:r w:rsidRPr="00B036E0">
              <w:rPr>
                <w:lang w:val="en-US"/>
              </w:rPr>
              <w:t xml:space="preserve">Operating bands </w:t>
            </w:r>
            <w:r w:rsidRPr="00B036E0">
              <w:rPr>
                <w:highlight w:val="yellow"/>
                <w:lang w:val="en-US"/>
              </w:rPr>
              <w:t xml:space="preserve">at least </w:t>
            </w:r>
            <w:proofErr w:type="gramStart"/>
            <w:r w:rsidRPr="00B036E0">
              <w:rPr>
                <w:highlight w:val="yellow"/>
                <w:lang w:val="en-US"/>
              </w:rPr>
              <w:t>existing</w:t>
            </w:r>
            <w:proofErr w:type="gramEnd"/>
            <w:r w:rsidRPr="00B036E0">
              <w:rPr>
                <w:highlight w:val="yellow"/>
                <w:lang w:val="en-US"/>
              </w:rPr>
              <w:t xml:space="preserve"> FR1</w:t>
            </w:r>
          </w:p>
          <w:p w14:paraId="4E4B03CE" w14:textId="77777777" w:rsidR="00631043" w:rsidRPr="00B036E0" w:rsidRDefault="00631043" w:rsidP="00631043">
            <w:pPr>
              <w:pStyle w:val="BodyText"/>
              <w:numPr>
                <w:ilvl w:val="1"/>
                <w:numId w:val="26"/>
              </w:numPr>
              <w:suppressAutoHyphens/>
              <w:overflowPunct/>
              <w:autoSpaceDE/>
              <w:autoSpaceDN/>
              <w:adjustRightInd/>
              <w:spacing w:line="259" w:lineRule="auto"/>
              <w:textAlignment w:val="auto"/>
              <w:rPr>
                <w:lang w:val="en-US"/>
              </w:rPr>
            </w:pPr>
            <w:r w:rsidRPr="00B036E0">
              <w:rPr>
                <w:lang w:val="en-US"/>
              </w:rPr>
              <w:t xml:space="preserve">Alignment in time/frequency resource (e.g., numerology, RB, slot, symbol, </w:t>
            </w:r>
            <w:r w:rsidRPr="00B036E0">
              <w:rPr>
                <w:highlight w:val="yellow"/>
                <w:lang w:val="en-US"/>
              </w:rPr>
              <w:t>UL/DL direction in TDD operation</w:t>
            </w:r>
            <w:r w:rsidRPr="00B036E0">
              <w:rPr>
                <w:lang w:val="en-US"/>
              </w:rPr>
              <w:t>)</w:t>
            </w:r>
          </w:p>
          <w:p w14:paraId="2EDDCE07" w14:textId="77777777" w:rsidR="00631043" w:rsidRPr="00B036E0" w:rsidRDefault="00631043" w:rsidP="00631043">
            <w:pPr>
              <w:pStyle w:val="BodyText"/>
              <w:numPr>
                <w:ilvl w:val="1"/>
                <w:numId w:val="26"/>
              </w:numPr>
              <w:suppressAutoHyphens/>
              <w:overflowPunct/>
              <w:autoSpaceDE/>
              <w:autoSpaceDN/>
              <w:adjustRightInd/>
              <w:spacing w:line="259" w:lineRule="auto"/>
              <w:textAlignment w:val="auto"/>
              <w:rPr>
                <w:highlight w:val="yellow"/>
                <w:lang w:val="en-US"/>
              </w:rPr>
            </w:pPr>
            <w:r w:rsidRPr="00B036E0">
              <w:rPr>
                <w:highlight w:val="yellow"/>
                <w:lang w:val="en-US"/>
              </w:rPr>
              <w:t>Reliance on availability of specific NR functionalities</w:t>
            </w:r>
          </w:p>
          <w:p w14:paraId="0E35B45E" w14:textId="77777777" w:rsidR="00631043" w:rsidRPr="00B036E0" w:rsidRDefault="00631043" w:rsidP="00712A6F">
            <w:pPr>
              <w:pStyle w:val="BodyText"/>
              <w:ind w:left="440"/>
              <w:rPr>
                <w:lang w:val="en-US"/>
              </w:rPr>
            </w:pPr>
            <w:r w:rsidRPr="00B036E0">
              <w:rPr>
                <w:lang w:val="en-US"/>
              </w:rPr>
              <w:t>Note: Focus on existing NR deployments (NW and UE)</w:t>
            </w:r>
          </w:p>
        </w:tc>
      </w:tr>
    </w:tbl>
    <w:p w14:paraId="48726065" w14:textId="77777777" w:rsidR="00534298" w:rsidRPr="00B036E0" w:rsidRDefault="00534298" w:rsidP="00534298">
      <w:pPr>
        <w:rPr>
          <w:rFonts w:eastAsia="Times New Roman"/>
          <w:lang w:val="en-US" w:eastAsia="en-GB"/>
        </w:rPr>
      </w:pPr>
    </w:p>
    <w:p w14:paraId="13153CAE" w14:textId="1B9F2E06" w:rsidR="00534298" w:rsidRPr="00B036E0" w:rsidRDefault="00534298" w:rsidP="00534298">
      <w:pPr>
        <w:pStyle w:val="Heading3"/>
        <w:rPr>
          <w:lang w:val="en-US" w:eastAsia="en-GB"/>
        </w:rPr>
      </w:pPr>
      <w:bookmarkStart w:id="10" w:name="_Toc213409715"/>
      <w:r w:rsidRPr="00B036E0">
        <w:rPr>
          <w:lang w:val="en-US" w:eastAsia="en-GB"/>
        </w:rPr>
        <w:t>Resource Allocation Coordination and NR-6GR Co-location</w:t>
      </w:r>
      <w:bookmarkEnd w:id="10"/>
    </w:p>
    <w:p w14:paraId="791121D8" w14:textId="30469C44" w:rsidR="00EC4ADA" w:rsidRPr="00B036E0" w:rsidRDefault="00EC4ADA" w:rsidP="00EC4ADA">
      <w:pPr>
        <w:rPr>
          <w:lang w:val="en-US" w:eastAsia="zh-CN"/>
        </w:rPr>
      </w:pPr>
      <w:r w:rsidRPr="00B036E0">
        <w:rPr>
          <w:lang w:val="en-US" w:eastAsia="zh-CN"/>
        </w:rPr>
        <w:t>Two main deployment configurations can be considered for MRSS: co-located and non-co-located NR–6GR TRPs. In the co-located case, NR and 6GR nodes share common physical references such as timing, frequency, and possibly RF/antenna resources (i.e., same RU). This configuration facilitates radio-resource coordination since both RATs can rely on a common frame boundary, TDD switching pattern, and spatial beam geometry. When the same RU is shared, beam configurations and calibration can also be common, enabling reuse of NR measurements and control signaling. However, such hardware sharing introduces tighter coupling between the two schedulers and may limit independent optimization of numerology, beam management, and duplex operation. Resource allocation flexibility can therefore be constrained, and scheduler complexity increases when both RATs are active on the same carrier.</w:t>
      </w:r>
    </w:p>
    <w:p w14:paraId="214C4F3C" w14:textId="77777777" w:rsidR="00EC4ADA" w:rsidRPr="00B036E0" w:rsidRDefault="00EC4ADA" w:rsidP="00EC4ADA">
      <w:pPr>
        <w:rPr>
          <w:lang w:val="en-US" w:eastAsia="zh-CN"/>
        </w:rPr>
      </w:pPr>
      <w:r w:rsidRPr="00B036E0">
        <w:rPr>
          <w:lang w:val="en-US" w:eastAsia="zh-CN"/>
        </w:rPr>
        <w:t xml:space="preserve">In the non-co-located case, NR and 6GR TRPs are deployed at separate physical sites or use independent RUs without shared timing or beam calibration. In this case, each RAT can maintain independent numerology and duplex configuration, but inter-RAT interference management and synchronization become more challenging. Coordination must rely on </w:t>
      </w:r>
      <w:proofErr w:type="gramStart"/>
      <w:r w:rsidRPr="00B036E0">
        <w:rPr>
          <w:lang w:val="en-US" w:eastAsia="zh-CN"/>
        </w:rPr>
        <w:t>higher-layer</w:t>
      </w:r>
      <w:proofErr w:type="gramEnd"/>
      <w:r w:rsidRPr="00B036E0">
        <w:rPr>
          <w:lang w:val="en-US" w:eastAsia="zh-CN"/>
        </w:rPr>
        <w:t xml:space="preserve"> signaling (e.g., via </w:t>
      </w:r>
      <w:proofErr w:type="spellStart"/>
      <w:r w:rsidRPr="00B036E0">
        <w:rPr>
          <w:lang w:val="en-US" w:eastAsia="zh-CN"/>
        </w:rPr>
        <w:t>Xn</w:t>
      </w:r>
      <w:proofErr w:type="spellEnd"/>
      <w:r w:rsidRPr="00B036E0">
        <w:rPr>
          <w:lang w:val="en-US" w:eastAsia="zh-CN"/>
        </w:rPr>
        <w:t>/F1 interfaces), which increases latency and overhead, and may not enable fine-grained resource alignment in dynamic TDD operation.</w:t>
      </w:r>
    </w:p>
    <w:bookmarkEnd w:id="9"/>
    <w:p w14:paraId="61A46C7A" w14:textId="21CBDB20" w:rsidR="00EC4ADA" w:rsidRPr="00B036E0" w:rsidRDefault="00EC4ADA" w:rsidP="00EC4ADA">
      <w:pPr>
        <w:pStyle w:val="ListParagraph"/>
        <w:numPr>
          <w:ilvl w:val="0"/>
          <w:numId w:val="15"/>
        </w:numPr>
        <w:spacing w:after="180"/>
        <w:ind w:left="0" w:firstLine="0"/>
        <w:contextualSpacing w:val="0"/>
        <w:rPr>
          <w:b/>
          <w:bCs/>
          <w:i/>
          <w:iCs/>
          <w:sz w:val="20"/>
          <w:szCs w:val="20"/>
          <w:lang w:val="en-US"/>
        </w:rPr>
      </w:pPr>
      <w:r w:rsidRPr="00B036E0">
        <w:rPr>
          <w:b/>
          <w:bCs/>
          <w:i/>
          <w:iCs/>
          <w:sz w:val="20"/>
          <w:szCs w:val="20"/>
          <w:lang w:val="en-US"/>
        </w:rPr>
        <w:t>NR and 6GR are co-located, coordination can efficiently exploit shared timing, frequency, and spatial references to reduce signaling overhead, while non-co-located deployments require explicit inter-RAT information exchange to maintain coexistence</w:t>
      </w:r>
      <w:r w:rsidR="00062528" w:rsidRPr="00B036E0">
        <w:rPr>
          <w:b/>
          <w:bCs/>
          <w:i/>
          <w:iCs/>
          <w:sz w:val="20"/>
          <w:szCs w:val="20"/>
          <w:lang w:val="en-US"/>
        </w:rPr>
        <w:t>.</w:t>
      </w:r>
    </w:p>
    <w:p w14:paraId="0D123597" w14:textId="5EAFEAC3" w:rsidR="00EC4ADA" w:rsidRPr="00B036E0" w:rsidRDefault="00EC4ADA" w:rsidP="00EC4ADA">
      <w:pPr>
        <w:pStyle w:val="ListParagraph"/>
        <w:numPr>
          <w:ilvl w:val="0"/>
          <w:numId w:val="10"/>
        </w:numPr>
        <w:spacing w:after="180"/>
        <w:ind w:left="0" w:firstLine="0"/>
        <w:contextualSpacing w:val="0"/>
        <w:rPr>
          <w:b/>
          <w:bCs/>
          <w:i/>
          <w:iCs/>
          <w:sz w:val="20"/>
          <w:szCs w:val="20"/>
          <w:lang w:val="en-US"/>
        </w:rPr>
      </w:pPr>
      <w:r w:rsidRPr="00B036E0">
        <w:rPr>
          <w:b/>
          <w:bCs/>
          <w:i/>
          <w:iCs/>
          <w:sz w:val="20"/>
          <w:szCs w:val="20"/>
          <w:lang w:val="en-US"/>
        </w:rPr>
        <w:t>Consider distinguishing these two deployment cases when evaluating MRSS operation.</w:t>
      </w:r>
    </w:p>
    <w:p w14:paraId="7856E9B7" w14:textId="05D1A55C" w:rsidR="00EC4ADA" w:rsidRPr="00B036E0" w:rsidRDefault="00EC4ADA" w:rsidP="00EC4ADA">
      <w:pPr>
        <w:pStyle w:val="Heading3"/>
        <w:rPr>
          <w:lang w:val="en-US" w:eastAsia="en-GB"/>
        </w:rPr>
      </w:pPr>
      <w:bookmarkStart w:id="11" w:name="_Toc213409716"/>
      <w:r w:rsidRPr="00B036E0">
        <w:rPr>
          <w:lang w:val="en-US" w:eastAsia="en-GB"/>
        </w:rPr>
        <w:t>Discussion on UL/DL Alignment in MRSS Operation</w:t>
      </w:r>
      <w:bookmarkEnd w:id="11"/>
    </w:p>
    <w:p w14:paraId="56E799C7" w14:textId="77777777" w:rsidR="00EC4ADA" w:rsidRPr="00B036E0" w:rsidRDefault="00EC4ADA" w:rsidP="00EC4ADA">
      <w:pPr>
        <w:rPr>
          <w:lang w:val="en-US" w:eastAsia="zh-CN"/>
        </w:rPr>
      </w:pPr>
      <w:r w:rsidRPr="00B036E0">
        <w:rPr>
          <w:lang w:val="en-US" w:eastAsia="zh-CN"/>
        </w:rPr>
        <w:t xml:space="preserve">When NR and 6GR operate on shared or adjacent spectrum resources, maintaining a common UL/DL direction in TDD operation is essential to suppress cross-link interference (CLI). In the co-located case, despite shared timing and frequency references, opposite UL/DL configurations across </w:t>
      </w:r>
      <w:proofErr w:type="spellStart"/>
      <w:r w:rsidRPr="00B036E0">
        <w:rPr>
          <w:lang w:val="en-US" w:eastAsia="zh-CN"/>
        </w:rPr>
        <w:t>subbands</w:t>
      </w:r>
      <w:proofErr w:type="spellEnd"/>
      <w:r w:rsidRPr="00B036E0">
        <w:rPr>
          <w:lang w:val="en-US" w:eastAsia="zh-CN"/>
        </w:rPr>
        <w:t xml:space="preserve"> can cause strong leakage and self-interference within the same RU or tower due to limited analog isolation. In the non-co-located case, the absence of a shared clock and potential frame misalignment make coordination more complex, yet misaligned UL and DL periods can still create severe over-the-air CLI between TRPs and UEs of different RATs. Therefore, both deployment types benefit from enforcing the same UL/DL direction to preserve isolation and simplify coordination </w:t>
      </w:r>
    </w:p>
    <w:p w14:paraId="0E033FDD" w14:textId="77777777" w:rsidR="00EC4ADA" w:rsidRPr="00B036E0" w:rsidRDefault="00EC4ADA" w:rsidP="00EC4ADA">
      <w:pPr>
        <w:pStyle w:val="ListParagraph"/>
        <w:numPr>
          <w:ilvl w:val="0"/>
          <w:numId w:val="15"/>
        </w:numPr>
        <w:spacing w:after="180"/>
        <w:ind w:left="0" w:firstLine="0"/>
        <w:contextualSpacing w:val="0"/>
        <w:rPr>
          <w:b/>
          <w:bCs/>
          <w:i/>
          <w:iCs/>
          <w:sz w:val="20"/>
          <w:szCs w:val="20"/>
          <w:lang w:val="en-US"/>
        </w:rPr>
      </w:pPr>
      <w:r w:rsidRPr="00B036E0">
        <w:rPr>
          <w:b/>
          <w:bCs/>
          <w:i/>
          <w:iCs/>
          <w:sz w:val="20"/>
          <w:szCs w:val="20"/>
          <w:lang w:val="en-US"/>
        </w:rPr>
        <w:t>Aligning UL/DL directions across NR and 6GR is a practical means to minimize CLI regardless of deployment scenario.</w:t>
      </w:r>
    </w:p>
    <w:p w14:paraId="73AD3CBD" w14:textId="7A243FA2" w:rsidR="00EC4ADA" w:rsidRPr="00B036E0" w:rsidRDefault="00EC4ADA" w:rsidP="00EC4ADA">
      <w:pPr>
        <w:pStyle w:val="ListParagraph"/>
        <w:numPr>
          <w:ilvl w:val="0"/>
          <w:numId w:val="10"/>
        </w:numPr>
        <w:spacing w:after="180"/>
        <w:ind w:left="0" w:firstLine="0"/>
        <w:contextualSpacing w:val="0"/>
        <w:rPr>
          <w:b/>
          <w:bCs/>
          <w:i/>
          <w:iCs/>
          <w:sz w:val="20"/>
          <w:szCs w:val="20"/>
          <w:lang w:val="en-US"/>
        </w:rPr>
      </w:pPr>
      <w:r w:rsidRPr="00B036E0">
        <w:rPr>
          <w:b/>
          <w:bCs/>
          <w:i/>
          <w:iCs/>
          <w:sz w:val="20"/>
          <w:szCs w:val="20"/>
          <w:lang w:val="en-US"/>
        </w:rPr>
        <w:t>Study MRSS operation under the assumption of synchronized UL/DL direction between NR and 6GR to ensure coexistence without additional interference management burden.</w:t>
      </w:r>
    </w:p>
    <w:p w14:paraId="35BD7865" w14:textId="61B418AE" w:rsidR="00EC4ADA" w:rsidRPr="00B036E0" w:rsidRDefault="005F3ED8" w:rsidP="005F3ED8">
      <w:pPr>
        <w:pStyle w:val="Heading3"/>
        <w:rPr>
          <w:lang w:val="en-US" w:eastAsia="en-GB"/>
        </w:rPr>
      </w:pPr>
      <w:bookmarkStart w:id="12" w:name="_Toc213409717"/>
      <w:proofErr w:type="spellStart"/>
      <w:r w:rsidRPr="00B036E0">
        <w:rPr>
          <w:lang w:val="en-US" w:eastAsia="en-GB"/>
        </w:rPr>
        <w:t>Signalling</w:t>
      </w:r>
      <w:proofErr w:type="spellEnd"/>
      <w:r w:rsidRPr="00B036E0">
        <w:rPr>
          <w:lang w:val="en-US" w:eastAsia="en-GB"/>
        </w:rPr>
        <w:t xml:space="preserve"> Overhead and NR Signal Re-use</w:t>
      </w:r>
      <w:bookmarkEnd w:id="12"/>
    </w:p>
    <w:p w14:paraId="1F54C21E" w14:textId="77777777" w:rsidR="00592604" w:rsidRPr="00B036E0" w:rsidRDefault="00592604" w:rsidP="00592604">
      <w:pPr>
        <w:pStyle w:val="ListParagraph"/>
        <w:spacing w:after="180"/>
        <w:ind w:left="0"/>
        <w:rPr>
          <w:sz w:val="20"/>
          <w:szCs w:val="20"/>
          <w:lang w:val="en-US"/>
        </w:rPr>
      </w:pPr>
      <w:r w:rsidRPr="00B036E0">
        <w:rPr>
          <w:sz w:val="20"/>
          <w:szCs w:val="20"/>
          <w:lang w:val="en-US"/>
        </w:rPr>
        <w:t xml:space="preserve">Since the design targets and structure of 6G synchronization and reference signals are not yet defined, complete reliance on the legacy NR SSB framework would constrain 6G flexibility. Any reuse of NR signals should therefore be assistive only, serving to reduce </w:t>
      </w:r>
      <w:proofErr w:type="spellStart"/>
      <w:r w:rsidRPr="00B036E0">
        <w:rPr>
          <w:sz w:val="20"/>
          <w:szCs w:val="20"/>
          <w:lang w:val="en-US"/>
        </w:rPr>
        <w:t>signalling</w:t>
      </w:r>
      <w:proofErr w:type="spellEnd"/>
      <w:r w:rsidRPr="00B036E0">
        <w:rPr>
          <w:sz w:val="20"/>
          <w:szCs w:val="20"/>
          <w:lang w:val="en-US"/>
        </w:rPr>
        <w:t xml:space="preserve"> overhead or latency without making 6G dependent on NR presence or numerology. In co-located deployments, particularly when NR and 6G share the same RU, antenna array, and timing reference; NR signals may be leveraged to provide timing, frequency, and beam geometry hints to 6G, enabling reduced overhead for 6G reference signal transmission. Accordingly, 6G should maintain independent synchronization and channel estimation capabilities, using NR signals only as optional aids to lower RS periodicity and UE monitoring overhead.</w:t>
      </w:r>
    </w:p>
    <w:p w14:paraId="11A7BDFC" w14:textId="77777777" w:rsidR="00592604" w:rsidRPr="00B036E0" w:rsidRDefault="00592604" w:rsidP="00592604">
      <w:pPr>
        <w:pStyle w:val="ListParagraph"/>
        <w:spacing w:after="180"/>
        <w:ind w:left="0"/>
        <w:rPr>
          <w:sz w:val="20"/>
          <w:szCs w:val="20"/>
          <w:lang w:val="en-US"/>
        </w:rPr>
      </w:pPr>
    </w:p>
    <w:p w14:paraId="6B303227" w14:textId="0379194A" w:rsidR="00592604" w:rsidRPr="00B036E0" w:rsidRDefault="00592604" w:rsidP="00592604">
      <w:pPr>
        <w:pStyle w:val="ListParagraph"/>
        <w:numPr>
          <w:ilvl w:val="0"/>
          <w:numId w:val="15"/>
        </w:numPr>
        <w:spacing w:after="180"/>
        <w:ind w:left="0" w:firstLine="0"/>
        <w:contextualSpacing w:val="0"/>
        <w:rPr>
          <w:b/>
          <w:bCs/>
          <w:i/>
          <w:iCs/>
          <w:sz w:val="20"/>
          <w:szCs w:val="20"/>
          <w:lang w:val="en-US"/>
        </w:rPr>
      </w:pPr>
      <w:r w:rsidRPr="00B036E0">
        <w:rPr>
          <w:b/>
          <w:bCs/>
          <w:i/>
          <w:iCs/>
          <w:sz w:val="20"/>
          <w:szCs w:val="20"/>
          <w:lang w:val="en-US"/>
        </w:rPr>
        <w:t>NR signal reuse should be limited to assistive functions that provide timing or beam insight while preserving 6G design freedom</w:t>
      </w:r>
      <w:r w:rsidR="007D7245" w:rsidRPr="00B036E0">
        <w:rPr>
          <w:b/>
          <w:bCs/>
          <w:i/>
          <w:iCs/>
          <w:sz w:val="20"/>
          <w:szCs w:val="20"/>
          <w:lang w:val="en-US"/>
        </w:rPr>
        <w:t>.</w:t>
      </w:r>
    </w:p>
    <w:p w14:paraId="3300F88E" w14:textId="318B1BFA" w:rsidR="00592604" w:rsidRPr="00B036E0" w:rsidRDefault="00592604" w:rsidP="00592604">
      <w:pPr>
        <w:pStyle w:val="ListParagraph"/>
        <w:numPr>
          <w:ilvl w:val="0"/>
          <w:numId w:val="10"/>
        </w:numPr>
        <w:spacing w:after="180"/>
        <w:ind w:left="0" w:firstLine="0"/>
        <w:rPr>
          <w:b/>
          <w:bCs/>
          <w:i/>
          <w:iCs/>
          <w:sz w:val="20"/>
          <w:szCs w:val="20"/>
          <w:lang w:val="en-US"/>
        </w:rPr>
      </w:pPr>
      <w:bookmarkStart w:id="13" w:name="_Hlk213338391"/>
      <w:r w:rsidRPr="00B036E0">
        <w:rPr>
          <w:b/>
          <w:bCs/>
          <w:i/>
          <w:iCs/>
          <w:sz w:val="20"/>
          <w:szCs w:val="20"/>
          <w:lang w:val="en-US"/>
        </w:rPr>
        <w:t>Study assistive NR-to-6G mechanisms under co-located conditions and define limits on dual-RAT monitoring to ensure that 6G remains self-sufficient while quantifying potential reductions in RS overhead and UE power consumption</w:t>
      </w:r>
      <w:r w:rsidR="007D7245" w:rsidRPr="00B036E0">
        <w:rPr>
          <w:b/>
          <w:bCs/>
          <w:i/>
          <w:iCs/>
          <w:sz w:val="20"/>
          <w:szCs w:val="20"/>
          <w:lang w:val="en-US"/>
        </w:rPr>
        <w:t>.</w:t>
      </w:r>
    </w:p>
    <w:p w14:paraId="4D3F5444" w14:textId="784A635D" w:rsidR="00EC4ADA" w:rsidRPr="00B036E0" w:rsidRDefault="00592604" w:rsidP="00592604">
      <w:pPr>
        <w:pStyle w:val="Heading2"/>
        <w:rPr>
          <w:lang w:val="en-US"/>
        </w:rPr>
      </w:pPr>
      <w:bookmarkStart w:id="14" w:name="_Toc213409718"/>
      <w:bookmarkEnd w:id="13"/>
      <w:r w:rsidRPr="00B036E0">
        <w:rPr>
          <w:lang w:val="en-US"/>
        </w:rPr>
        <w:lastRenderedPageBreak/>
        <w:t>Bandwidth Part Adaptation</w:t>
      </w:r>
      <w:bookmarkEnd w:id="14"/>
    </w:p>
    <w:p w14:paraId="3A7FA195" w14:textId="4AEE1852" w:rsidR="00592604" w:rsidRPr="00B036E0" w:rsidRDefault="00592604" w:rsidP="00592604">
      <w:pPr>
        <w:rPr>
          <w:lang w:val="en-US" w:eastAsia="zh-CN"/>
        </w:rPr>
      </w:pPr>
      <w:r w:rsidRPr="00B036E0">
        <w:rPr>
          <w:lang w:val="en-US" w:eastAsia="zh-CN"/>
        </w:rPr>
        <w:t xml:space="preserve">In previous RAN1#122bis meeting the following proposal has been made </w:t>
      </w:r>
      <w:sdt>
        <w:sdtPr>
          <w:rPr>
            <w:lang w:val="en-US" w:eastAsia="zh-CN"/>
          </w:rPr>
          <w:id w:val="-1175412772"/>
          <w:citation/>
        </w:sdtPr>
        <w:sdtEndPr/>
        <w:sdtContent>
          <w:r w:rsidRPr="00B036E0">
            <w:rPr>
              <w:lang w:val="en-US" w:eastAsia="zh-CN"/>
            </w:rPr>
            <w:fldChar w:fldCharType="begin"/>
          </w:r>
          <w:r w:rsidRPr="00B036E0">
            <w:rPr>
              <w:lang w:val="en-US" w:eastAsia="zh-CN"/>
            </w:rPr>
            <w:instrText xml:space="preserve"> CITATION 3GP1 \l 1033 </w:instrText>
          </w:r>
          <w:r w:rsidRPr="00B036E0">
            <w:rPr>
              <w:lang w:val="en-US" w:eastAsia="zh-CN"/>
            </w:rPr>
            <w:fldChar w:fldCharType="separate"/>
          </w:r>
          <w:r w:rsidR="007E07C0" w:rsidRPr="00B036E0">
            <w:rPr>
              <w:noProof/>
              <w:lang w:val="en-US" w:eastAsia="zh-CN"/>
            </w:rPr>
            <w:t>[1]</w:t>
          </w:r>
          <w:r w:rsidRPr="00B036E0">
            <w:rPr>
              <w:lang w:val="en-US" w:eastAsia="zh-CN"/>
            </w:rPr>
            <w:fldChar w:fldCharType="end"/>
          </w:r>
        </w:sdtContent>
      </w:sdt>
      <w:r w:rsidR="004A6598" w:rsidRPr="00B036E0">
        <w:rPr>
          <w:lang w:val="en-US" w:eastAsia="zh-CN"/>
        </w:rPr>
        <w:t>:</w:t>
      </w:r>
    </w:p>
    <w:tbl>
      <w:tblPr>
        <w:tblStyle w:val="TableGrid"/>
        <w:tblW w:w="0" w:type="auto"/>
        <w:tblLook w:val="04A0" w:firstRow="1" w:lastRow="0" w:firstColumn="1" w:lastColumn="0" w:noHBand="0" w:noVBand="1"/>
      </w:tblPr>
      <w:tblGrid>
        <w:gridCol w:w="9630"/>
      </w:tblGrid>
      <w:tr w:rsidR="00592604" w:rsidRPr="00B036E0" w14:paraId="1D867A50" w14:textId="77777777" w:rsidTr="00712A6F">
        <w:tc>
          <w:tcPr>
            <w:tcW w:w="9630" w:type="dxa"/>
          </w:tcPr>
          <w:p w14:paraId="4D66AAE4" w14:textId="77777777" w:rsidR="00592604" w:rsidRPr="00B036E0" w:rsidRDefault="00592604" w:rsidP="00712A6F">
            <w:pPr>
              <w:pStyle w:val="BodyText"/>
              <w:rPr>
                <w:b/>
                <w:bCs/>
                <w:lang w:val="en-US"/>
              </w:rPr>
            </w:pPr>
            <w:r w:rsidRPr="00B036E0">
              <w:rPr>
                <w:b/>
                <w:bCs/>
                <w:highlight w:val="yellow"/>
                <w:lang w:val="en-US"/>
              </w:rPr>
              <w:t>Proposed observation 8.1c:</w:t>
            </w:r>
          </w:p>
          <w:p w14:paraId="76B6DDE4" w14:textId="77777777" w:rsidR="00592604" w:rsidRPr="00B036E0" w:rsidRDefault="00592604" w:rsidP="00592604">
            <w:pPr>
              <w:pStyle w:val="BodyText"/>
              <w:numPr>
                <w:ilvl w:val="0"/>
                <w:numId w:val="31"/>
              </w:numPr>
              <w:suppressAutoHyphens/>
              <w:overflowPunct/>
              <w:autoSpaceDE/>
              <w:autoSpaceDN/>
              <w:adjustRightInd/>
              <w:spacing w:line="259" w:lineRule="auto"/>
              <w:textAlignment w:val="auto"/>
              <w:rPr>
                <w:lang w:val="en-US"/>
              </w:rPr>
            </w:pPr>
            <w:r w:rsidRPr="00B036E0">
              <w:rPr>
                <w:lang w:val="en-US"/>
              </w:rPr>
              <w:t>The lessons learned from NR BWP framework include, but not limited to</w:t>
            </w:r>
          </w:p>
          <w:p w14:paraId="606B77B3" w14:textId="77777777" w:rsidR="00592604" w:rsidRPr="00B036E0" w:rsidRDefault="00592604" w:rsidP="00592604">
            <w:pPr>
              <w:pStyle w:val="BodyText"/>
              <w:numPr>
                <w:ilvl w:val="1"/>
                <w:numId w:val="31"/>
              </w:numPr>
              <w:suppressAutoHyphens/>
              <w:overflowPunct/>
              <w:autoSpaceDE/>
              <w:autoSpaceDN/>
              <w:adjustRightInd/>
              <w:spacing w:line="259" w:lineRule="auto"/>
              <w:textAlignment w:val="auto"/>
              <w:rPr>
                <w:lang w:val="en-US"/>
              </w:rPr>
            </w:pPr>
            <w:r w:rsidRPr="00B036E0">
              <w:rPr>
                <w:lang w:val="en-US"/>
              </w:rPr>
              <w:t>excessive BWP-specific BB/RF configuration parameters, which leads to UE long BWP switch latency</w:t>
            </w:r>
          </w:p>
          <w:p w14:paraId="15DC023E" w14:textId="77777777" w:rsidR="00592604" w:rsidRPr="00B036E0" w:rsidRDefault="00592604" w:rsidP="00592604">
            <w:pPr>
              <w:pStyle w:val="BodyText"/>
              <w:numPr>
                <w:ilvl w:val="1"/>
                <w:numId w:val="31"/>
              </w:numPr>
              <w:suppressAutoHyphens/>
              <w:overflowPunct/>
              <w:autoSpaceDE/>
              <w:autoSpaceDN/>
              <w:adjustRightInd/>
              <w:spacing w:line="259" w:lineRule="auto"/>
              <w:textAlignment w:val="auto"/>
              <w:rPr>
                <w:highlight w:val="yellow"/>
                <w:lang w:val="en-US"/>
              </w:rPr>
            </w:pPr>
            <w:r w:rsidRPr="00B036E0">
              <w:rPr>
                <w:highlight w:val="yellow"/>
                <w:lang w:val="en-US"/>
              </w:rPr>
              <w:t>SCS switching under BWP framework is complicated</w:t>
            </w:r>
          </w:p>
          <w:p w14:paraId="344ED3CC" w14:textId="77777777" w:rsidR="00592604" w:rsidRPr="00B036E0" w:rsidRDefault="00592604" w:rsidP="00592604">
            <w:pPr>
              <w:pStyle w:val="BodyText"/>
              <w:numPr>
                <w:ilvl w:val="1"/>
                <w:numId w:val="31"/>
              </w:numPr>
              <w:suppressAutoHyphens/>
              <w:overflowPunct/>
              <w:autoSpaceDE/>
              <w:autoSpaceDN/>
              <w:adjustRightInd/>
              <w:spacing w:line="259" w:lineRule="auto"/>
              <w:textAlignment w:val="auto"/>
              <w:rPr>
                <w:lang w:val="en-US"/>
              </w:rPr>
            </w:pPr>
            <w:r w:rsidRPr="00B036E0">
              <w:rPr>
                <w:lang w:val="en-US"/>
              </w:rPr>
              <w:t xml:space="preserve">Some scenarios (e.g. non-overlapped BWPs) where DCI-based BWP switching can have reliability </w:t>
            </w:r>
            <w:proofErr w:type="gramStart"/>
            <w:r w:rsidRPr="00B036E0">
              <w:rPr>
                <w:lang w:val="en-US"/>
              </w:rPr>
              <w:t>issue</w:t>
            </w:r>
            <w:proofErr w:type="gramEnd"/>
          </w:p>
          <w:p w14:paraId="4F2019B1" w14:textId="77777777" w:rsidR="00592604" w:rsidRPr="00B036E0" w:rsidRDefault="00592604" w:rsidP="00592604">
            <w:pPr>
              <w:pStyle w:val="BodyText"/>
              <w:numPr>
                <w:ilvl w:val="1"/>
                <w:numId w:val="31"/>
              </w:numPr>
              <w:suppressAutoHyphens/>
              <w:overflowPunct/>
              <w:autoSpaceDE/>
              <w:autoSpaceDN/>
              <w:adjustRightInd/>
              <w:spacing w:line="259" w:lineRule="auto"/>
              <w:textAlignment w:val="auto"/>
              <w:rPr>
                <w:highlight w:val="yellow"/>
                <w:lang w:val="en-US"/>
              </w:rPr>
            </w:pPr>
            <w:r w:rsidRPr="00B036E0">
              <w:rPr>
                <w:highlight w:val="yellow"/>
                <w:lang w:val="en-US"/>
              </w:rPr>
              <w:t>lack of early RAN4 involvement, which caused sub-optimal design</w:t>
            </w:r>
          </w:p>
        </w:tc>
      </w:tr>
    </w:tbl>
    <w:p w14:paraId="4B0F0ED3" w14:textId="77777777" w:rsidR="00592604" w:rsidRPr="00B036E0" w:rsidRDefault="00592604" w:rsidP="00592604">
      <w:pPr>
        <w:rPr>
          <w:lang w:val="en-US" w:eastAsia="zh-CN"/>
        </w:rPr>
      </w:pPr>
    </w:p>
    <w:p w14:paraId="1BB8A499" w14:textId="33ACEB4F" w:rsidR="00592604" w:rsidRPr="00B036E0" w:rsidRDefault="00592604" w:rsidP="00592604">
      <w:pPr>
        <w:rPr>
          <w:lang w:val="en-US" w:eastAsia="zh-CN"/>
        </w:rPr>
      </w:pPr>
      <w:r w:rsidRPr="00B036E0">
        <w:rPr>
          <w:lang w:val="en-US" w:eastAsia="zh-CN"/>
        </w:rPr>
        <w:t xml:space="preserve">To enable fast and energy-efficient bandwidth adaptation in 6GR, the BWP concept should be decoupled from complex RRC and baseband reconfiguration procedures. Lessons from NR show that excessive reparameterization of CORESET locations, RS mappings, and SCS during BWP switching significantly increases latency and </w:t>
      </w:r>
      <w:proofErr w:type="spellStart"/>
      <w:r w:rsidRPr="00B036E0">
        <w:rPr>
          <w:lang w:val="en-US" w:eastAsia="zh-CN"/>
        </w:rPr>
        <w:t>signalling</w:t>
      </w:r>
      <w:proofErr w:type="spellEnd"/>
      <w:r w:rsidRPr="00B036E0">
        <w:rPr>
          <w:lang w:val="en-US" w:eastAsia="zh-CN"/>
        </w:rPr>
        <w:t xml:space="preserve"> overhead. Instead, the 6GR framework could fix key grid parameters, CORESET type, reference-signal mapping, and SCS, within each carrier, such that BWP adaptation involves only RF re</w:t>
      </w:r>
      <w:r w:rsidR="00E05CF4">
        <w:rPr>
          <w:lang w:val="en-US" w:eastAsia="zh-CN"/>
        </w:rPr>
        <w:t>-</w:t>
      </w:r>
      <w:r w:rsidRPr="00B036E0">
        <w:rPr>
          <w:lang w:val="en-US" w:eastAsia="zh-CN"/>
        </w:rPr>
        <w:t>tuning and digital spectrum limitation. This approach provides predictable delay and simplifies scheduler design, as the symbol grid and numerology remain constant.</w:t>
      </w:r>
    </w:p>
    <w:p w14:paraId="158F434C" w14:textId="0BCBF8D7" w:rsidR="00592604" w:rsidRPr="00B036E0" w:rsidRDefault="00592604" w:rsidP="00592604">
      <w:pPr>
        <w:rPr>
          <w:lang w:val="en-US" w:eastAsia="zh-CN"/>
        </w:rPr>
      </w:pPr>
      <w:r w:rsidRPr="00B036E0">
        <w:rPr>
          <w:lang w:val="en-US" w:eastAsia="zh-CN"/>
        </w:rPr>
        <w:t xml:space="preserve">Recent discussions have highlighted that coupling uplink and downlink BWPs, as done in NR, limits flexibility and power optimization. In NR, activating a new BWP requires reconfiguring both UL and DL parameters even when only one direction needs adaptation, which increases switching latency and control </w:t>
      </w:r>
      <w:proofErr w:type="spellStart"/>
      <w:r w:rsidRPr="00B036E0">
        <w:rPr>
          <w:lang w:val="en-US" w:eastAsia="zh-CN"/>
        </w:rPr>
        <w:t>signalling</w:t>
      </w:r>
      <w:proofErr w:type="spellEnd"/>
      <w:r w:rsidRPr="00B036E0">
        <w:rPr>
          <w:lang w:val="en-US" w:eastAsia="zh-CN"/>
        </w:rPr>
        <w:t>. For 6GR, independent activation and configuration of UL and DL BWP</w:t>
      </w:r>
      <w:r w:rsidRPr="00B036E0">
        <w:rPr>
          <w:b/>
          <w:bCs/>
          <w:lang w:val="en-US" w:eastAsia="zh-CN"/>
        </w:rPr>
        <w:t>s</w:t>
      </w:r>
      <w:r w:rsidRPr="00B036E0">
        <w:rPr>
          <w:lang w:val="en-US" w:eastAsia="zh-CN"/>
        </w:rPr>
        <w:t xml:space="preserve"> could provide better adaptation to asymmetric traffic patterns and UE power capabilities, for example, maintaining a narrow UL BWP for energy saving while using a wide DL BWP for high throughput. However, this decoupling introduces several technical challenges. Separate UL and DL BWPs require additional reference </w:t>
      </w:r>
      <w:proofErr w:type="spellStart"/>
      <w:r w:rsidRPr="00B036E0">
        <w:rPr>
          <w:lang w:val="en-US" w:eastAsia="zh-CN"/>
        </w:rPr>
        <w:t>signalling</w:t>
      </w:r>
      <w:proofErr w:type="spellEnd"/>
      <w:r w:rsidRPr="00B036E0">
        <w:rPr>
          <w:lang w:val="en-US" w:eastAsia="zh-CN"/>
        </w:rPr>
        <w:t xml:space="preserve"> for channel estimation, since reciprocity cannot be directly assumed when the two bandwidths differ. If UL transmission and DL reception occur consecutively, the UE may also face RF re</w:t>
      </w:r>
      <w:r w:rsidR="00E05CF4">
        <w:rPr>
          <w:lang w:val="en-US" w:eastAsia="zh-CN"/>
        </w:rPr>
        <w:t>-</w:t>
      </w:r>
      <w:r w:rsidRPr="00B036E0">
        <w:rPr>
          <w:lang w:val="en-US" w:eastAsia="zh-CN"/>
        </w:rPr>
        <w:t>tuning delays, depending on whether its transmit and receive chains share common LO or filtering paths.</w:t>
      </w:r>
    </w:p>
    <w:p w14:paraId="3415798D" w14:textId="2B15F9FE" w:rsidR="00592604" w:rsidRPr="00B036E0" w:rsidRDefault="00592604" w:rsidP="00473D01">
      <w:pPr>
        <w:pStyle w:val="ListParagraph"/>
        <w:numPr>
          <w:ilvl w:val="0"/>
          <w:numId w:val="10"/>
        </w:numPr>
        <w:spacing w:after="180"/>
        <w:ind w:left="0" w:firstLine="0"/>
        <w:contextualSpacing w:val="0"/>
        <w:rPr>
          <w:b/>
          <w:bCs/>
          <w:i/>
          <w:iCs/>
          <w:sz w:val="20"/>
          <w:szCs w:val="20"/>
          <w:lang w:val="en-US"/>
        </w:rPr>
      </w:pPr>
      <w:r w:rsidRPr="00B036E0">
        <w:rPr>
          <w:b/>
          <w:bCs/>
          <w:i/>
          <w:iCs/>
          <w:sz w:val="20"/>
          <w:szCs w:val="20"/>
          <w:lang w:val="en-US"/>
        </w:rPr>
        <w:t>Study UL/DL-decoupled BWP operation for 6GR, focusing on the trade-off between flexibility, channel-estimation overhead, and RF re</w:t>
      </w:r>
      <w:r w:rsidR="00E05CF4">
        <w:rPr>
          <w:b/>
          <w:bCs/>
          <w:i/>
          <w:iCs/>
          <w:sz w:val="20"/>
          <w:szCs w:val="20"/>
          <w:lang w:val="en-US"/>
        </w:rPr>
        <w:t>-</w:t>
      </w:r>
      <w:r w:rsidRPr="00B036E0">
        <w:rPr>
          <w:b/>
          <w:bCs/>
          <w:i/>
          <w:iCs/>
          <w:sz w:val="20"/>
          <w:szCs w:val="20"/>
          <w:lang w:val="en-US"/>
        </w:rPr>
        <w:t>tuning feasibility, and to coordinate early with RAN4 on corresponding UE RF and timing requirements.</w:t>
      </w:r>
    </w:p>
    <w:p w14:paraId="6E83D48C" w14:textId="70CEED30" w:rsidR="0088698C" w:rsidRPr="00B036E0" w:rsidRDefault="00473D01" w:rsidP="00473D01">
      <w:pPr>
        <w:pStyle w:val="Heading2"/>
        <w:rPr>
          <w:lang w:val="en-US"/>
        </w:rPr>
      </w:pPr>
      <w:bookmarkStart w:id="15" w:name="_Toc213409719"/>
      <w:r w:rsidRPr="00B036E0">
        <w:rPr>
          <w:lang w:val="en-US"/>
        </w:rPr>
        <w:t>Waveform</w:t>
      </w:r>
      <w:bookmarkEnd w:id="15"/>
    </w:p>
    <w:p w14:paraId="266AF247" w14:textId="0C77AE6C" w:rsidR="00473D01" w:rsidRPr="00B036E0" w:rsidRDefault="00473D01" w:rsidP="00473D01">
      <w:pPr>
        <w:rPr>
          <w:lang w:val="en-US" w:eastAsia="zh-CN"/>
        </w:rPr>
      </w:pPr>
      <w:r w:rsidRPr="00B036E0">
        <w:rPr>
          <w:lang w:val="en-US" w:eastAsia="zh-CN"/>
        </w:rPr>
        <w:t>5G NR adopted a multi-numerology OFDM framework balancing flexibility and backward compatibility. CP-OFDM was selected as the baseline downlink waveform, with CP-OFDM and DFT-s-OFDM in the uplink. While this supported diverse 5G services, it also introduced limitations for 6G:</w:t>
      </w:r>
    </w:p>
    <w:p w14:paraId="6FDD44F0" w14:textId="77777777" w:rsidR="00473D01" w:rsidRPr="00B036E0" w:rsidRDefault="00473D01" w:rsidP="00473D01">
      <w:pPr>
        <w:rPr>
          <w:lang w:val="en-US" w:eastAsia="zh-CN"/>
        </w:rPr>
      </w:pPr>
      <w:r w:rsidRPr="00B036E0">
        <w:rPr>
          <w:lang w:val="en-US" w:eastAsia="zh-CN"/>
        </w:rPr>
        <w:t>– High PAPR reducing uplink coverage,</w:t>
      </w:r>
    </w:p>
    <w:p w14:paraId="16AA9F67" w14:textId="77777777" w:rsidR="00473D01" w:rsidRPr="00B036E0" w:rsidRDefault="00473D01" w:rsidP="00473D01">
      <w:pPr>
        <w:rPr>
          <w:lang w:val="en-US" w:eastAsia="zh-CN"/>
        </w:rPr>
      </w:pPr>
      <w:r w:rsidRPr="00B036E0">
        <w:rPr>
          <w:lang w:val="en-US" w:eastAsia="zh-CN"/>
        </w:rPr>
        <w:t>– Large sidelobes lowering spectral efficiency and masking weak echoes,</w:t>
      </w:r>
    </w:p>
    <w:p w14:paraId="2AB201C5" w14:textId="77777777" w:rsidR="00473D01" w:rsidRPr="00B036E0" w:rsidRDefault="00473D01" w:rsidP="00473D01">
      <w:pPr>
        <w:rPr>
          <w:lang w:val="en-US" w:eastAsia="zh-CN"/>
        </w:rPr>
      </w:pPr>
      <w:r w:rsidRPr="00B036E0">
        <w:rPr>
          <w:lang w:val="en-US" w:eastAsia="zh-CN"/>
        </w:rPr>
        <w:t>– Strict synchronization constraints hindering sporadic IoT access,</w:t>
      </w:r>
    </w:p>
    <w:p w14:paraId="09FAA3C2" w14:textId="77777777" w:rsidR="00473D01" w:rsidRPr="00B036E0" w:rsidRDefault="00473D01" w:rsidP="00473D01">
      <w:pPr>
        <w:rPr>
          <w:lang w:val="en-US" w:eastAsia="zh-CN"/>
        </w:rPr>
      </w:pPr>
      <w:r w:rsidRPr="00B036E0">
        <w:rPr>
          <w:lang w:val="en-US" w:eastAsia="zh-CN"/>
        </w:rPr>
        <w:t>– Doppler sensitivity degrading performance in high-mobility scenarios.</w:t>
      </w:r>
    </w:p>
    <w:p w14:paraId="6F68FE00" w14:textId="77777777" w:rsidR="00473D01" w:rsidRPr="00B036E0" w:rsidRDefault="00473D01" w:rsidP="00473D01">
      <w:pPr>
        <w:rPr>
          <w:lang w:val="en-US" w:eastAsia="zh-CN"/>
        </w:rPr>
      </w:pPr>
      <w:r w:rsidRPr="00B036E0">
        <w:rPr>
          <w:lang w:val="en-US" w:eastAsia="zh-CN"/>
        </w:rPr>
        <w:t>Multi-numerology added flexibility but introduced inter-numerology interference and signaling overhead.</w:t>
      </w:r>
    </w:p>
    <w:p w14:paraId="29E52C81" w14:textId="78DA8C58" w:rsidR="00473D01" w:rsidRPr="00B036E0" w:rsidRDefault="00473D01" w:rsidP="00473D01">
      <w:pPr>
        <w:pStyle w:val="ListParagraph"/>
        <w:numPr>
          <w:ilvl w:val="0"/>
          <w:numId w:val="15"/>
        </w:numPr>
        <w:spacing w:after="180"/>
        <w:ind w:left="0" w:firstLine="0"/>
        <w:contextualSpacing w:val="0"/>
        <w:rPr>
          <w:b/>
          <w:bCs/>
          <w:i/>
          <w:iCs/>
          <w:sz w:val="20"/>
          <w:szCs w:val="20"/>
          <w:lang w:val="en-US"/>
        </w:rPr>
      </w:pPr>
      <w:r w:rsidRPr="00B036E0">
        <w:rPr>
          <w:b/>
          <w:bCs/>
          <w:i/>
          <w:iCs/>
          <w:sz w:val="20"/>
          <w:szCs w:val="20"/>
          <w:lang w:val="en-US"/>
        </w:rPr>
        <w:t xml:space="preserve">CP-OFDM and multi-numerology OFDM supported 5G but </w:t>
      </w:r>
      <w:proofErr w:type="gramStart"/>
      <w:r w:rsidRPr="00B036E0">
        <w:rPr>
          <w:b/>
          <w:bCs/>
          <w:i/>
          <w:iCs/>
          <w:sz w:val="20"/>
          <w:szCs w:val="20"/>
          <w:lang w:val="en-US"/>
        </w:rPr>
        <w:t>suffer</w:t>
      </w:r>
      <w:proofErr w:type="gramEnd"/>
      <w:r w:rsidRPr="00B036E0">
        <w:rPr>
          <w:b/>
          <w:bCs/>
          <w:i/>
          <w:iCs/>
          <w:sz w:val="20"/>
          <w:szCs w:val="20"/>
          <w:lang w:val="en-US"/>
        </w:rPr>
        <w:t xml:space="preserve"> from PAPR, sidelobe leakage, synchronization rigidity, and Doppler sensitivity, limiting efficiency and sensing performance.</w:t>
      </w:r>
    </w:p>
    <w:p w14:paraId="7F0280A7" w14:textId="2CC475B0" w:rsidR="00473D01" w:rsidRPr="00B036E0" w:rsidRDefault="00473D01" w:rsidP="00473D01">
      <w:pPr>
        <w:pStyle w:val="ListParagraph"/>
        <w:numPr>
          <w:ilvl w:val="0"/>
          <w:numId w:val="10"/>
        </w:numPr>
        <w:spacing w:after="180"/>
        <w:ind w:left="0" w:firstLine="0"/>
        <w:rPr>
          <w:b/>
          <w:bCs/>
          <w:i/>
          <w:iCs/>
          <w:sz w:val="20"/>
          <w:szCs w:val="20"/>
          <w:lang w:val="en-US"/>
        </w:rPr>
      </w:pPr>
      <w:bookmarkStart w:id="16" w:name="_Hlk213400627"/>
      <w:r w:rsidRPr="00B036E0">
        <w:rPr>
          <w:b/>
          <w:bCs/>
          <w:i/>
          <w:iCs/>
          <w:sz w:val="20"/>
          <w:szCs w:val="20"/>
          <w:lang w:val="en-US"/>
        </w:rPr>
        <w:t>CP-OFDM should remain the baseline downlink waveform for 6G, complemented by modular multi-domain processing to enhance coverage, Doppler robustness, and sensing while maintaining backward compatibility.</w:t>
      </w:r>
    </w:p>
    <w:p w14:paraId="78FC1FDE" w14:textId="2D62190A" w:rsidR="002D290B" w:rsidRPr="00B036E0" w:rsidRDefault="002D290B" w:rsidP="002D290B">
      <w:pPr>
        <w:pStyle w:val="Heading3"/>
        <w:rPr>
          <w:lang w:val="en-US" w:eastAsia="en-GB"/>
        </w:rPr>
      </w:pPr>
      <w:bookmarkStart w:id="17" w:name="_Toc213409720"/>
      <w:bookmarkEnd w:id="16"/>
      <w:r w:rsidRPr="00B036E0">
        <w:rPr>
          <w:lang w:val="en-US" w:eastAsia="en-GB"/>
        </w:rPr>
        <w:lastRenderedPageBreak/>
        <w:t>Baseline and Continuity with 5G NR</w:t>
      </w:r>
      <w:bookmarkEnd w:id="17"/>
    </w:p>
    <w:p w14:paraId="7B5F90B0" w14:textId="77777777" w:rsidR="002D290B" w:rsidRPr="00B036E0" w:rsidRDefault="002D290B" w:rsidP="002D290B">
      <w:pPr>
        <w:rPr>
          <w:lang w:val="en-US" w:eastAsia="zh-CN"/>
        </w:rPr>
      </w:pPr>
      <w:r w:rsidRPr="00B036E0">
        <w:rPr>
          <w:lang w:val="en-US" w:eastAsia="zh-CN"/>
        </w:rPr>
        <w:t>DFT-s-OFDM provides lower PAPR and better energy efficiency in uplink transmissions, which benefits coverage-limited scenarios. However, its single-carrier structure complicates multi-layer MIMO and massive-array integration, making it less scalable in 6G contexts.</w:t>
      </w:r>
    </w:p>
    <w:p w14:paraId="1C3EB8AF" w14:textId="20E7C581" w:rsidR="002D290B" w:rsidRPr="00B036E0" w:rsidRDefault="002D290B" w:rsidP="002D290B">
      <w:pPr>
        <w:pStyle w:val="ListParagraph"/>
        <w:numPr>
          <w:ilvl w:val="0"/>
          <w:numId w:val="15"/>
        </w:numPr>
        <w:spacing w:after="180"/>
        <w:ind w:left="0" w:firstLine="0"/>
        <w:contextualSpacing w:val="0"/>
        <w:rPr>
          <w:b/>
          <w:bCs/>
          <w:i/>
          <w:iCs/>
          <w:sz w:val="20"/>
          <w:szCs w:val="20"/>
          <w:lang w:val="en-US"/>
        </w:rPr>
      </w:pPr>
      <w:r w:rsidRPr="00B036E0">
        <w:rPr>
          <w:b/>
          <w:bCs/>
          <w:i/>
          <w:iCs/>
          <w:sz w:val="20"/>
          <w:szCs w:val="20"/>
          <w:lang w:val="en-US"/>
        </w:rPr>
        <w:t>DFT-s-OFDM improves uplink coverage efficiency but scales poorly with massive MIMO due to its single-carrier nature.</w:t>
      </w:r>
    </w:p>
    <w:p w14:paraId="2D3FD815" w14:textId="4633F9B7" w:rsidR="002D290B" w:rsidRPr="00B036E0" w:rsidRDefault="002D290B" w:rsidP="002D290B">
      <w:pPr>
        <w:pStyle w:val="ListParagraph"/>
        <w:numPr>
          <w:ilvl w:val="0"/>
          <w:numId w:val="10"/>
        </w:numPr>
        <w:spacing w:after="180"/>
        <w:ind w:left="0" w:firstLine="0"/>
        <w:contextualSpacing w:val="0"/>
        <w:rPr>
          <w:b/>
          <w:bCs/>
          <w:i/>
          <w:iCs/>
          <w:sz w:val="20"/>
          <w:szCs w:val="20"/>
          <w:lang w:val="en-US"/>
        </w:rPr>
      </w:pPr>
      <w:r w:rsidRPr="00B036E0">
        <w:rPr>
          <w:b/>
          <w:bCs/>
          <w:i/>
          <w:iCs/>
          <w:sz w:val="20"/>
          <w:szCs w:val="20"/>
          <w:lang w:val="en-US"/>
        </w:rPr>
        <w:t xml:space="preserve">DFT-s-OFDM should remain the uplink baseline for coverage-limited scenarios, complemented with </w:t>
      </w:r>
      <w:proofErr w:type="spellStart"/>
      <w:r w:rsidRPr="00B036E0">
        <w:rPr>
          <w:b/>
          <w:bCs/>
          <w:i/>
          <w:iCs/>
          <w:sz w:val="20"/>
          <w:szCs w:val="20"/>
          <w:lang w:val="en-US"/>
        </w:rPr>
        <w:t>beamspace</w:t>
      </w:r>
      <w:proofErr w:type="spellEnd"/>
      <w:r w:rsidRPr="00B036E0">
        <w:rPr>
          <w:b/>
          <w:bCs/>
          <w:i/>
          <w:iCs/>
          <w:sz w:val="20"/>
          <w:szCs w:val="20"/>
          <w:lang w:val="en-US"/>
        </w:rPr>
        <w:t xml:space="preserve"> (wavenumber-domain) processing to enable efficient operation with large antenna arrays.</w:t>
      </w:r>
    </w:p>
    <w:p w14:paraId="0C5158A2" w14:textId="03E06B1B" w:rsidR="00473D01" w:rsidRPr="00B036E0" w:rsidRDefault="002D290B" w:rsidP="002D290B">
      <w:pPr>
        <w:pStyle w:val="ListParagraph"/>
        <w:numPr>
          <w:ilvl w:val="0"/>
          <w:numId w:val="10"/>
        </w:numPr>
        <w:spacing w:after="180"/>
        <w:ind w:left="0" w:firstLine="0"/>
        <w:contextualSpacing w:val="0"/>
        <w:rPr>
          <w:b/>
          <w:bCs/>
          <w:i/>
          <w:iCs/>
          <w:sz w:val="20"/>
          <w:szCs w:val="20"/>
          <w:lang w:val="en-US"/>
        </w:rPr>
      </w:pPr>
      <w:r w:rsidRPr="00B036E0">
        <w:rPr>
          <w:b/>
          <w:bCs/>
          <w:i/>
          <w:iCs/>
          <w:sz w:val="20"/>
          <w:szCs w:val="20"/>
          <w:lang w:val="en-US"/>
        </w:rPr>
        <w:t xml:space="preserve">When extending DFT-s-OFDM toward multi-layer MIMO, early 6G studies should focus on rank-2 transmission as a practical starting point. Beyond </w:t>
      </w:r>
      <w:proofErr w:type="gramStart"/>
      <w:r w:rsidRPr="00B036E0">
        <w:rPr>
          <w:b/>
          <w:bCs/>
          <w:i/>
          <w:iCs/>
          <w:sz w:val="20"/>
          <w:szCs w:val="20"/>
          <w:lang w:val="en-US"/>
        </w:rPr>
        <w:t>two</w:t>
      </w:r>
      <w:proofErr w:type="gramEnd"/>
      <w:r w:rsidRPr="00B036E0">
        <w:rPr>
          <w:b/>
          <w:bCs/>
          <w:i/>
          <w:iCs/>
          <w:sz w:val="20"/>
          <w:szCs w:val="20"/>
          <w:lang w:val="en-US"/>
        </w:rPr>
        <w:t xml:space="preserve"> layers, receiver complexity and waveform orthogonality may degrade, particularly when spectrum-shaping (e.g. FDSS) is applied. FDSS introduces per-layer dependencies that can disturb layer orthogonality. The study should evaluate rank scalability jointly with low-PAPR methods.</w:t>
      </w:r>
    </w:p>
    <w:p w14:paraId="172DFB1F" w14:textId="7C3844D1" w:rsidR="001E0185" w:rsidRPr="00B036E0" w:rsidRDefault="001E0185" w:rsidP="001E0185">
      <w:pPr>
        <w:pStyle w:val="Heading3"/>
        <w:rPr>
          <w:lang w:val="en-US" w:eastAsia="en-GB"/>
        </w:rPr>
      </w:pPr>
      <w:bookmarkStart w:id="18" w:name="_Toc213409721"/>
      <w:r w:rsidRPr="00B036E0">
        <w:rPr>
          <w:lang w:val="en-US" w:eastAsia="en-GB"/>
        </w:rPr>
        <w:t>Enhancement Areas: Low PAPR, Spectrum Efficiency, Coverage</w:t>
      </w:r>
      <w:bookmarkEnd w:id="18"/>
    </w:p>
    <w:p w14:paraId="5A07A422" w14:textId="77777777" w:rsidR="001E0185" w:rsidRPr="00B036E0" w:rsidRDefault="001E0185" w:rsidP="001E0185">
      <w:pPr>
        <w:rPr>
          <w:lang w:val="en-US" w:eastAsia="zh-CN"/>
        </w:rPr>
      </w:pPr>
      <w:r w:rsidRPr="00B036E0">
        <w:rPr>
          <w:lang w:val="en-US" w:eastAsia="zh-CN"/>
        </w:rPr>
        <w:t>NR reference signals (DMRS) effectively support time–frequency channel estimation but underutilize channel sparsity representation. This limits performance under high mobility and reduces sensing performance.</w:t>
      </w:r>
    </w:p>
    <w:p w14:paraId="72309E51" w14:textId="112671F0" w:rsidR="001E0185" w:rsidRPr="00B036E0" w:rsidRDefault="001E0185" w:rsidP="007857EC">
      <w:pPr>
        <w:pStyle w:val="ListParagraph"/>
        <w:numPr>
          <w:ilvl w:val="0"/>
          <w:numId w:val="15"/>
        </w:numPr>
        <w:spacing w:after="180"/>
        <w:ind w:left="0" w:firstLine="0"/>
        <w:contextualSpacing w:val="0"/>
        <w:rPr>
          <w:b/>
          <w:bCs/>
          <w:i/>
          <w:iCs/>
          <w:sz w:val="20"/>
          <w:szCs w:val="20"/>
          <w:lang w:val="en-US"/>
        </w:rPr>
      </w:pPr>
      <w:r w:rsidRPr="00B036E0">
        <w:rPr>
          <w:b/>
          <w:bCs/>
          <w:i/>
          <w:iCs/>
          <w:sz w:val="20"/>
          <w:szCs w:val="20"/>
          <w:lang w:val="en-US"/>
        </w:rPr>
        <w:t>Current DMRS design is limited to time–frequency estimation, constraining performance under high-mobility and sensing use cases.</w:t>
      </w:r>
    </w:p>
    <w:p w14:paraId="4E366DD4" w14:textId="25CE4854" w:rsidR="001E0185" w:rsidRPr="00B036E0" w:rsidRDefault="001E0185" w:rsidP="007857EC">
      <w:pPr>
        <w:pStyle w:val="ListParagraph"/>
        <w:numPr>
          <w:ilvl w:val="0"/>
          <w:numId w:val="10"/>
        </w:numPr>
        <w:spacing w:after="180"/>
        <w:ind w:left="0" w:firstLine="0"/>
        <w:contextualSpacing w:val="0"/>
        <w:rPr>
          <w:b/>
          <w:bCs/>
          <w:i/>
          <w:iCs/>
          <w:sz w:val="20"/>
          <w:szCs w:val="20"/>
          <w:lang w:val="en-US"/>
        </w:rPr>
      </w:pPr>
      <w:r w:rsidRPr="00B036E0">
        <w:rPr>
          <w:b/>
          <w:bCs/>
          <w:i/>
          <w:iCs/>
          <w:sz w:val="20"/>
          <w:szCs w:val="20"/>
          <w:lang w:val="en-US"/>
        </w:rPr>
        <w:t>Extend DMRS to multi-domain processing, projecting pilots into delay–Doppler and affine domains for richer CSI and improved sensing accuracy.</w:t>
      </w:r>
    </w:p>
    <w:p w14:paraId="19204725" w14:textId="77777777" w:rsidR="001E0185" w:rsidRPr="00B036E0" w:rsidRDefault="001E0185" w:rsidP="001E0185">
      <w:pPr>
        <w:rPr>
          <w:lang w:val="en-US" w:eastAsia="zh-CN"/>
        </w:rPr>
      </w:pPr>
    </w:p>
    <w:p w14:paraId="065603DA" w14:textId="77777777" w:rsidR="001E0185" w:rsidRPr="00B036E0" w:rsidRDefault="001E0185" w:rsidP="001E0185">
      <w:pPr>
        <w:rPr>
          <w:lang w:val="en-US" w:eastAsia="zh-CN"/>
        </w:rPr>
      </w:pPr>
      <w:r w:rsidRPr="00B036E0">
        <w:rPr>
          <w:lang w:val="en-US" w:eastAsia="zh-CN"/>
        </w:rPr>
        <w:t>Low-PAPR techniques such as FDSS and FDSS-SE can improve transmitter power utilization but may reduce spectral efficiency due to guard tones and filter shaping.</w:t>
      </w:r>
    </w:p>
    <w:p w14:paraId="2CDE7885" w14:textId="78E0149D" w:rsidR="001E0185" w:rsidRPr="00B036E0" w:rsidRDefault="001E0185" w:rsidP="007857EC">
      <w:pPr>
        <w:pStyle w:val="ListParagraph"/>
        <w:numPr>
          <w:ilvl w:val="0"/>
          <w:numId w:val="15"/>
        </w:numPr>
        <w:spacing w:after="180"/>
        <w:ind w:left="0" w:firstLine="0"/>
        <w:contextualSpacing w:val="0"/>
        <w:rPr>
          <w:b/>
          <w:bCs/>
          <w:i/>
          <w:iCs/>
          <w:sz w:val="20"/>
          <w:szCs w:val="20"/>
          <w:lang w:val="en-US"/>
        </w:rPr>
      </w:pPr>
      <w:r w:rsidRPr="00B036E0">
        <w:rPr>
          <w:b/>
          <w:bCs/>
          <w:i/>
          <w:iCs/>
          <w:sz w:val="20"/>
          <w:szCs w:val="20"/>
          <w:lang w:val="en-US"/>
        </w:rPr>
        <w:t>FDSS enhancements are valuable only if the resulting coverage and power-efficiency improvements are achieved without noticeable SE degradation or excessive complexity.</w:t>
      </w:r>
    </w:p>
    <w:p w14:paraId="47008ECB" w14:textId="61848CDC" w:rsidR="002D290B" w:rsidRPr="00B036E0" w:rsidRDefault="001E0185" w:rsidP="007857EC">
      <w:pPr>
        <w:pStyle w:val="ListParagraph"/>
        <w:numPr>
          <w:ilvl w:val="0"/>
          <w:numId w:val="10"/>
        </w:numPr>
        <w:spacing w:after="180"/>
        <w:ind w:left="0" w:firstLine="0"/>
        <w:contextualSpacing w:val="0"/>
        <w:rPr>
          <w:b/>
          <w:bCs/>
          <w:i/>
          <w:iCs/>
          <w:sz w:val="20"/>
          <w:szCs w:val="20"/>
          <w:lang w:val="en-US"/>
        </w:rPr>
      </w:pPr>
      <w:r w:rsidRPr="00B036E0">
        <w:rPr>
          <w:b/>
          <w:bCs/>
          <w:i/>
          <w:iCs/>
          <w:sz w:val="20"/>
          <w:szCs w:val="20"/>
          <w:lang w:val="en-US"/>
        </w:rPr>
        <w:t>For each application scenario (e.g. low-power IoT, coverage-limited communications), the study should evaluate appropriate PAPR-reduction schemes such as data-driven precoding, flexible sub-carrier spacing, and probabilistic or geometric constellation shaping, without committing to a single numerical gain at this stage.</w:t>
      </w:r>
    </w:p>
    <w:p w14:paraId="30CC993E" w14:textId="0557058B" w:rsidR="007857EC" w:rsidRPr="00B036E0" w:rsidRDefault="007857EC" w:rsidP="007857EC">
      <w:pPr>
        <w:pStyle w:val="Heading3"/>
        <w:rPr>
          <w:lang w:val="en-US" w:eastAsia="en-GB"/>
        </w:rPr>
      </w:pPr>
      <w:bookmarkStart w:id="19" w:name="_Toc213409722"/>
      <w:r w:rsidRPr="00B036E0">
        <w:rPr>
          <w:lang w:val="en-US" w:eastAsia="en-GB"/>
        </w:rPr>
        <w:t>DL DFT-s-OFDM Use Cases and NTN Relevance</w:t>
      </w:r>
      <w:bookmarkEnd w:id="19"/>
    </w:p>
    <w:p w14:paraId="341FA3A2" w14:textId="03E0C6E1" w:rsidR="007857EC" w:rsidRPr="00B036E0" w:rsidRDefault="007857EC" w:rsidP="007857EC">
      <w:pPr>
        <w:rPr>
          <w:lang w:val="en-US" w:eastAsia="zh-CN"/>
        </w:rPr>
      </w:pPr>
      <w:r w:rsidRPr="00B036E0">
        <w:rPr>
          <w:lang w:val="en-US" w:eastAsia="zh-CN"/>
        </w:rPr>
        <w:t xml:space="preserve">6G targets a broad range of deployments-terrestrial, NTN, </w:t>
      </w:r>
      <w:proofErr w:type="gramStart"/>
      <w:r w:rsidRPr="00B036E0">
        <w:rPr>
          <w:lang w:val="en-US" w:eastAsia="zh-CN"/>
        </w:rPr>
        <w:t>vehicular</w:t>
      </w:r>
      <w:proofErr w:type="gramEnd"/>
      <w:r w:rsidRPr="00B036E0">
        <w:rPr>
          <w:lang w:val="en-US" w:eastAsia="zh-CN"/>
        </w:rPr>
        <w:t>, industrial, and ambient IoT-creating new requirements for coverage, mobility, sensing integration, and energy efficiency. High-PAPR uplink bottlenecks, Doppler-induced ICI, and strict synchronization for IoT remain key challenges.</w:t>
      </w:r>
    </w:p>
    <w:p w14:paraId="3CD55BF6" w14:textId="459F0185" w:rsidR="007857EC" w:rsidRPr="00B036E0" w:rsidRDefault="007857EC" w:rsidP="007531A0">
      <w:pPr>
        <w:pStyle w:val="ListParagraph"/>
        <w:numPr>
          <w:ilvl w:val="0"/>
          <w:numId w:val="15"/>
        </w:numPr>
        <w:spacing w:after="180"/>
        <w:ind w:left="0" w:firstLine="0"/>
        <w:contextualSpacing w:val="0"/>
        <w:rPr>
          <w:b/>
          <w:bCs/>
          <w:i/>
          <w:iCs/>
          <w:sz w:val="20"/>
          <w:szCs w:val="20"/>
          <w:lang w:val="en-US"/>
        </w:rPr>
      </w:pPr>
      <w:r w:rsidRPr="00B036E0">
        <w:rPr>
          <w:b/>
          <w:bCs/>
          <w:i/>
          <w:iCs/>
          <w:sz w:val="20"/>
          <w:szCs w:val="20"/>
          <w:lang w:val="en-US"/>
        </w:rPr>
        <w:t>The current OFDM framework alone cannot meet 6G requirements for coverage, mobility, sensing, IoT scalability, and sustainability.</w:t>
      </w:r>
    </w:p>
    <w:p w14:paraId="6035CB99" w14:textId="3B7F44C0" w:rsidR="007857EC" w:rsidRPr="00B036E0" w:rsidRDefault="007857EC" w:rsidP="007531A0">
      <w:pPr>
        <w:pStyle w:val="ListParagraph"/>
        <w:numPr>
          <w:ilvl w:val="0"/>
          <w:numId w:val="10"/>
        </w:numPr>
        <w:spacing w:after="180"/>
        <w:ind w:left="0" w:firstLine="0"/>
        <w:contextualSpacing w:val="0"/>
        <w:rPr>
          <w:b/>
          <w:bCs/>
          <w:i/>
          <w:iCs/>
          <w:sz w:val="20"/>
          <w:szCs w:val="20"/>
          <w:lang w:val="en-US"/>
        </w:rPr>
      </w:pPr>
      <w:r w:rsidRPr="00B036E0">
        <w:rPr>
          <w:b/>
          <w:bCs/>
          <w:i/>
          <w:iCs/>
          <w:sz w:val="20"/>
          <w:szCs w:val="20"/>
          <w:lang w:val="en-US"/>
        </w:rPr>
        <w:t>Adopt a multi-domain precoding framework (e.g. delay–Doppler or affine domains) prior to OFDM mapping to enhance robustness, exploit channel sparsity, and facilitate joint communication and sensing while preserving OFDM compatibility.</w:t>
      </w:r>
    </w:p>
    <w:p w14:paraId="5C62B59D" w14:textId="62EC2C67" w:rsidR="001E0185" w:rsidRPr="00B036E0" w:rsidRDefault="007857EC" w:rsidP="007531A0">
      <w:pPr>
        <w:pStyle w:val="ListParagraph"/>
        <w:numPr>
          <w:ilvl w:val="0"/>
          <w:numId w:val="10"/>
        </w:numPr>
        <w:spacing w:after="180"/>
        <w:ind w:left="0" w:firstLine="0"/>
        <w:contextualSpacing w:val="0"/>
        <w:rPr>
          <w:b/>
          <w:bCs/>
          <w:i/>
          <w:iCs/>
          <w:sz w:val="20"/>
          <w:szCs w:val="20"/>
          <w:lang w:val="en-US"/>
        </w:rPr>
      </w:pPr>
      <w:r w:rsidRPr="00B036E0">
        <w:rPr>
          <w:b/>
          <w:bCs/>
          <w:i/>
          <w:iCs/>
          <w:sz w:val="20"/>
          <w:szCs w:val="20"/>
          <w:lang w:val="en-US"/>
        </w:rPr>
        <w:t>For Non-Terrestrial Networks, DL DFT-s-OFDM should be investigated as a potential additional waveform for common and control channels such as SIB1, Msg 4, and CSS PDCCH. The study should examine its performance under high-Doppler and GNSS-free conditions, evaluate appropriate numerology adaptations, and consider simple frequency-offset compensation or pre-distortion schemes to maintain link stability in NTN and HAPS scenarios.</w:t>
      </w:r>
    </w:p>
    <w:p w14:paraId="32A200DE" w14:textId="7A9751E4" w:rsidR="007531A0" w:rsidRPr="00B036E0" w:rsidRDefault="007531A0" w:rsidP="007531A0">
      <w:pPr>
        <w:pStyle w:val="Heading3"/>
        <w:rPr>
          <w:lang w:val="en-US" w:eastAsia="en-GB"/>
        </w:rPr>
      </w:pPr>
      <w:bookmarkStart w:id="20" w:name="_Toc213409723"/>
      <w:r w:rsidRPr="00B036E0">
        <w:rPr>
          <w:lang w:val="en-US" w:eastAsia="en-GB"/>
        </w:rPr>
        <w:lastRenderedPageBreak/>
        <w:t>Low-Complexity Access and Wake-Up Signaling</w:t>
      </w:r>
      <w:bookmarkEnd w:id="20"/>
    </w:p>
    <w:p w14:paraId="0C08028B" w14:textId="77777777" w:rsidR="007531A0" w:rsidRPr="00B036E0" w:rsidRDefault="007531A0" w:rsidP="007531A0">
      <w:pPr>
        <w:rPr>
          <w:lang w:val="en-US" w:eastAsia="zh-CN"/>
        </w:rPr>
      </w:pPr>
      <w:r w:rsidRPr="00B036E0">
        <w:rPr>
          <w:lang w:val="en-US" w:eastAsia="zh-CN"/>
        </w:rPr>
        <w:t>Massive IoT and wake-up receivers require ultra-low-complexity operation, which full OFDM decoding cannot support. Without adaptation, power and cost overheads hinder adoption.</w:t>
      </w:r>
    </w:p>
    <w:p w14:paraId="2A564352" w14:textId="15EDB37D" w:rsidR="007531A0" w:rsidRPr="00B036E0" w:rsidRDefault="007531A0" w:rsidP="006408C6">
      <w:pPr>
        <w:pStyle w:val="ListParagraph"/>
        <w:numPr>
          <w:ilvl w:val="0"/>
          <w:numId w:val="15"/>
        </w:numPr>
        <w:spacing w:after="180"/>
        <w:ind w:left="0" w:firstLine="0"/>
        <w:contextualSpacing w:val="0"/>
        <w:rPr>
          <w:b/>
          <w:bCs/>
          <w:i/>
          <w:iCs/>
          <w:sz w:val="20"/>
          <w:szCs w:val="20"/>
          <w:lang w:val="en-US"/>
        </w:rPr>
      </w:pPr>
      <w:r w:rsidRPr="00B036E0">
        <w:rPr>
          <w:b/>
          <w:bCs/>
          <w:i/>
          <w:iCs/>
          <w:sz w:val="20"/>
          <w:szCs w:val="20"/>
          <w:lang w:val="en-US"/>
        </w:rPr>
        <w:t>Low-complexity IoT devices cannot efficiently support full OFDM processing, limiting their coexistence with enhanced 6G waveforms.</w:t>
      </w:r>
    </w:p>
    <w:p w14:paraId="4A617CCD" w14:textId="21359FCA" w:rsidR="007531A0" w:rsidRPr="00B036E0" w:rsidRDefault="007531A0" w:rsidP="006408C6">
      <w:pPr>
        <w:pStyle w:val="ListParagraph"/>
        <w:numPr>
          <w:ilvl w:val="0"/>
          <w:numId w:val="10"/>
        </w:numPr>
        <w:spacing w:after="180"/>
        <w:ind w:left="0" w:firstLine="0"/>
        <w:contextualSpacing w:val="0"/>
        <w:rPr>
          <w:b/>
          <w:bCs/>
          <w:i/>
          <w:iCs/>
          <w:sz w:val="20"/>
          <w:szCs w:val="20"/>
          <w:lang w:val="en-US"/>
        </w:rPr>
      </w:pPr>
      <w:r w:rsidRPr="00B036E0">
        <w:rPr>
          <w:b/>
          <w:bCs/>
          <w:i/>
          <w:iCs/>
          <w:sz w:val="20"/>
          <w:szCs w:val="20"/>
          <w:lang w:val="en-US"/>
        </w:rPr>
        <w:t>Introduce flexible time-domain OFDM framing embedding simple OOK or low-rate structures for wake-up signaling and ambient IoT coexistence without disrupting legacy receivers.</w:t>
      </w:r>
    </w:p>
    <w:p w14:paraId="18FDA06A" w14:textId="77777777" w:rsidR="007531A0" w:rsidRPr="00B036E0" w:rsidRDefault="007531A0" w:rsidP="007531A0">
      <w:pPr>
        <w:rPr>
          <w:lang w:val="en-US" w:eastAsia="zh-CN"/>
        </w:rPr>
      </w:pPr>
      <w:r w:rsidRPr="00B036E0">
        <w:rPr>
          <w:lang w:val="en-US" w:eastAsia="zh-CN"/>
        </w:rPr>
        <w:t>Strict OFDM synchronization remains a bottleneck for sporadic IoT and wake-up operations. Rather than defining an additional baseline waveform, 6G should support OFDM-grid-aligned signaling with relaxed timing and frequency-error tolerance.</w:t>
      </w:r>
    </w:p>
    <w:p w14:paraId="18EFBD5A" w14:textId="1D7A4128" w:rsidR="007857EC" w:rsidRPr="00B036E0" w:rsidRDefault="007531A0" w:rsidP="006408C6">
      <w:pPr>
        <w:pStyle w:val="ListParagraph"/>
        <w:numPr>
          <w:ilvl w:val="0"/>
          <w:numId w:val="10"/>
        </w:numPr>
        <w:spacing w:after="180"/>
        <w:ind w:left="0" w:firstLine="0"/>
        <w:contextualSpacing w:val="0"/>
        <w:rPr>
          <w:b/>
          <w:bCs/>
          <w:i/>
          <w:iCs/>
          <w:sz w:val="20"/>
          <w:szCs w:val="20"/>
          <w:lang w:val="en-US"/>
        </w:rPr>
      </w:pPr>
      <w:r w:rsidRPr="00B036E0">
        <w:rPr>
          <w:b/>
          <w:bCs/>
          <w:i/>
          <w:iCs/>
          <w:sz w:val="20"/>
          <w:szCs w:val="20"/>
          <w:lang w:val="en-US"/>
        </w:rPr>
        <w:t xml:space="preserve">OOK-based DFT-s-OFDM precoding is a feasible approach for low-power wake-up signaling. The study should verify robustness under fading and Doppler conditions. Use of higher-order OOK formats to embed additional bits may be considered FFS subject to reliability evaluation. Adaptive thresholds and optional short DMRS tones can be explored to ensure </w:t>
      </w:r>
      <w:proofErr w:type="gramStart"/>
      <w:r w:rsidRPr="00B036E0">
        <w:rPr>
          <w:b/>
          <w:bCs/>
          <w:i/>
          <w:iCs/>
          <w:sz w:val="20"/>
          <w:szCs w:val="20"/>
          <w:lang w:val="en-US"/>
        </w:rPr>
        <w:t>reliable</w:t>
      </w:r>
      <w:proofErr w:type="gramEnd"/>
      <w:r w:rsidRPr="00B036E0">
        <w:rPr>
          <w:b/>
          <w:bCs/>
          <w:i/>
          <w:iCs/>
          <w:sz w:val="20"/>
          <w:szCs w:val="20"/>
          <w:lang w:val="en-US"/>
        </w:rPr>
        <w:t xml:space="preserve"> transition from sleep to connected state.</w:t>
      </w:r>
    </w:p>
    <w:p w14:paraId="6395986E" w14:textId="299110C7" w:rsidR="006408C6" w:rsidRPr="00B036E0" w:rsidRDefault="006408C6" w:rsidP="006408C6">
      <w:pPr>
        <w:pStyle w:val="Heading3"/>
        <w:rPr>
          <w:lang w:val="en-US" w:eastAsia="en-GB"/>
        </w:rPr>
      </w:pPr>
      <w:bookmarkStart w:id="21" w:name="_Toc213409724"/>
      <w:r w:rsidRPr="00B036E0">
        <w:rPr>
          <w:lang w:val="en-US" w:eastAsia="en-GB"/>
        </w:rPr>
        <w:t>Beyond OFDM Candidates for Future Study</w:t>
      </w:r>
      <w:bookmarkEnd w:id="21"/>
    </w:p>
    <w:p w14:paraId="7D058E05" w14:textId="77777777" w:rsidR="006408C6" w:rsidRPr="00B036E0" w:rsidRDefault="006408C6" w:rsidP="006408C6">
      <w:pPr>
        <w:rPr>
          <w:lang w:val="en-US" w:eastAsia="zh-CN"/>
        </w:rPr>
      </w:pPr>
      <w:r w:rsidRPr="00B036E0">
        <w:rPr>
          <w:lang w:val="en-US" w:eastAsia="zh-CN"/>
        </w:rPr>
        <w:t xml:space="preserve">Grant-free access and joint communication–sensing may require asynchronous multiplexing beyond strict orthogonal time–frequency allocations. Traditional OFDM mapping may not </w:t>
      </w:r>
      <w:proofErr w:type="gramStart"/>
      <w:r w:rsidRPr="00B036E0">
        <w:rPr>
          <w:lang w:val="en-US" w:eastAsia="zh-CN"/>
        </w:rPr>
        <w:t>scale</w:t>
      </w:r>
      <w:proofErr w:type="gramEnd"/>
      <w:r w:rsidRPr="00B036E0">
        <w:rPr>
          <w:lang w:val="en-US" w:eastAsia="zh-CN"/>
        </w:rPr>
        <w:t xml:space="preserve"> to ultra-dense IoT and sensing scenarios.</w:t>
      </w:r>
    </w:p>
    <w:p w14:paraId="592662C1" w14:textId="5BDBEB6C" w:rsidR="006408C6" w:rsidRPr="00B036E0" w:rsidRDefault="006408C6" w:rsidP="006408C6">
      <w:pPr>
        <w:pStyle w:val="ListParagraph"/>
        <w:numPr>
          <w:ilvl w:val="0"/>
          <w:numId w:val="15"/>
        </w:numPr>
        <w:spacing w:after="180"/>
        <w:ind w:left="0" w:firstLine="0"/>
        <w:contextualSpacing w:val="0"/>
        <w:rPr>
          <w:b/>
          <w:bCs/>
          <w:i/>
          <w:iCs/>
          <w:sz w:val="20"/>
          <w:szCs w:val="20"/>
          <w:lang w:val="en-US"/>
        </w:rPr>
      </w:pPr>
      <w:r w:rsidRPr="00B036E0">
        <w:rPr>
          <w:b/>
          <w:bCs/>
          <w:i/>
          <w:iCs/>
          <w:sz w:val="20"/>
          <w:szCs w:val="20"/>
          <w:lang w:val="en-US"/>
        </w:rPr>
        <w:t>Orthogonal time–frequency multiplexing alone cannot support massive asynchronous IoT and sensing coexistence.</w:t>
      </w:r>
    </w:p>
    <w:p w14:paraId="22093A2E" w14:textId="7594CD17" w:rsidR="006408C6" w:rsidRPr="00B036E0" w:rsidRDefault="006408C6" w:rsidP="006408C6">
      <w:pPr>
        <w:pStyle w:val="ListParagraph"/>
        <w:numPr>
          <w:ilvl w:val="0"/>
          <w:numId w:val="10"/>
        </w:numPr>
        <w:spacing w:after="180"/>
        <w:ind w:left="0" w:firstLine="0"/>
        <w:contextualSpacing w:val="0"/>
        <w:rPr>
          <w:b/>
          <w:bCs/>
          <w:i/>
          <w:iCs/>
          <w:sz w:val="20"/>
          <w:szCs w:val="20"/>
          <w:lang w:val="en-US"/>
        </w:rPr>
      </w:pPr>
      <w:r w:rsidRPr="00B036E0">
        <w:rPr>
          <w:b/>
          <w:bCs/>
          <w:i/>
          <w:iCs/>
          <w:sz w:val="20"/>
          <w:szCs w:val="20"/>
          <w:lang w:val="en-US"/>
        </w:rPr>
        <w:t>Study waveform-domain NOMA, separating users and functionalities in logical domains to support asynchronous multiplexing and in-band coexistence of communication and sensing.</w:t>
      </w:r>
    </w:p>
    <w:p w14:paraId="45506E71" w14:textId="70AEF2EB" w:rsidR="006408C6" w:rsidRPr="00B036E0" w:rsidRDefault="006408C6" w:rsidP="006408C6">
      <w:pPr>
        <w:pStyle w:val="Heading3"/>
        <w:rPr>
          <w:lang w:val="en-US" w:eastAsia="en-GB"/>
        </w:rPr>
      </w:pPr>
      <w:bookmarkStart w:id="22" w:name="_Toc213409725"/>
      <w:r w:rsidRPr="00B036E0">
        <w:rPr>
          <w:lang w:val="en-US" w:eastAsia="en-GB"/>
        </w:rPr>
        <w:t>Requirements for 6G waveform</w:t>
      </w:r>
      <w:bookmarkEnd w:id="22"/>
    </w:p>
    <w:p w14:paraId="39A9C20A" w14:textId="77777777" w:rsidR="006408C6" w:rsidRPr="00B036E0" w:rsidRDefault="006408C6" w:rsidP="006408C6">
      <w:pPr>
        <w:rPr>
          <w:lang w:val="en-US" w:eastAsia="zh-CN"/>
        </w:rPr>
      </w:pPr>
      <w:r w:rsidRPr="00B036E0">
        <w:rPr>
          <w:lang w:val="en-US" w:eastAsia="zh-CN"/>
        </w:rPr>
        <w:t>6G waveform design should evolve from OFDM through modular extensions in delay–Doppler, affine, and wavenumber domains.</w:t>
      </w:r>
    </w:p>
    <w:p w14:paraId="4085BD12" w14:textId="77777777" w:rsidR="006408C6" w:rsidRPr="00B036E0" w:rsidRDefault="006408C6" w:rsidP="006408C6">
      <w:pPr>
        <w:rPr>
          <w:lang w:val="en-US" w:eastAsia="zh-CN"/>
        </w:rPr>
      </w:pPr>
      <w:r w:rsidRPr="00B036E0">
        <w:rPr>
          <w:lang w:val="en-US" w:eastAsia="zh-CN"/>
        </w:rPr>
        <w:t>The overall objective is a unified OFDM-based framework supporting communication, sensing, NTN, and low-power IoT.</w:t>
      </w:r>
    </w:p>
    <w:p w14:paraId="65B3214C" w14:textId="08BF1AFF" w:rsidR="006408C6" w:rsidRPr="00B036E0" w:rsidRDefault="006408C6" w:rsidP="006408C6">
      <w:pPr>
        <w:pStyle w:val="ListParagraph"/>
        <w:numPr>
          <w:ilvl w:val="0"/>
          <w:numId w:val="15"/>
        </w:numPr>
        <w:spacing w:after="180"/>
        <w:ind w:left="0" w:firstLine="0"/>
        <w:contextualSpacing w:val="0"/>
        <w:rPr>
          <w:b/>
          <w:bCs/>
          <w:i/>
          <w:iCs/>
          <w:sz w:val="20"/>
          <w:szCs w:val="20"/>
          <w:lang w:val="en-US"/>
        </w:rPr>
      </w:pPr>
      <w:r w:rsidRPr="00B036E0">
        <w:rPr>
          <w:b/>
          <w:bCs/>
          <w:i/>
          <w:iCs/>
          <w:sz w:val="20"/>
          <w:szCs w:val="20"/>
          <w:lang w:val="en-US"/>
        </w:rPr>
        <w:t>Evaluation must consider coverage, energy efficiency, spectral efficiency, and coexistence without relying on numerical gains not yet supported by common simulations.</w:t>
      </w:r>
    </w:p>
    <w:p w14:paraId="24113E92" w14:textId="01C5A3E5" w:rsidR="006408C6" w:rsidRPr="00B036E0" w:rsidRDefault="006408C6" w:rsidP="006408C6">
      <w:pPr>
        <w:pStyle w:val="ListParagraph"/>
        <w:numPr>
          <w:ilvl w:val="0"/>
          <w:numId w:val="10"/>
        </w:numPr>
        <w:spacing w:after="180"/>
        <w:ind w:left="0" w:firstLine="0"/>
        <w:contextualSpacing w:val="0"/>
        <w:rPr>
          <w:b/>
          <w:bCs/>
          <w:i/>
          <w:iCs/>
          <w:sz w:val="20"/>
          <w:szCs w:val="20"/>
          <w:lang w:val="en-US"/>
        </w:rPr>
      </w:pPr>
      <w:r w:rsidRPr="00B036E0">
        <w:rPr>
          <w:b/>
          <w:bCs/>
          <w:i/>
          <w:iCs/>
          <w:sz w:val="20"/>
          <w:szCs w:val="20"/>
          <w:lang w:val="en-US"/>
        </w:rPr>
        <w:t>Use the Net-Gain evaluation approach and coordinate with RAN4 for PA models and RF parameters. Include MRSS compatibility, spectral-efficiency impact, and complexity as part of the evaluation framework.</w:t>
      </w:r>
    </w:p>
    <w:p w14:paraId="449A3856" w14:textId="77777777" w:rsidR="006408C6" w:rsidRPr="00B036E0" w:rsidRDefault="006408C6" w:rsidP="006408C6">
      <w:pPr>
        <w:rPr>
          <w:lang w:val="en-US" w:eastAsia="zh-CN"/>
        </w:rPr>
      </w:pPr>
      <w:r w:rsidRPr="00B036E0">
        <w:rPr>
          <w:lang w:val="en-US" w:eastAsia="zh-CN"/>
        </w:rPr>
        <w:t>The waveform shall:</w:t>
      </w:r>
    </w:p>
    <w:p w14:paraId="6B701827" w14:textId="24395E09" w:rsidR="006408C6" w:rsidRPr="00B036E0" w:rsidRDefault="006408C6" w:rsidP="00A04255">
      <w:pPr>
        <w:rPr>
          <w:lang w:val="en-US" w:eastAsia="zh-CN"/>
        </w:rPr>
      </w:pPr>
      <w:r w:rsidRPr="00B036E0">
        <w:rPr>
          <w:lang w:val="en-US" w:eastAsia="zh-CN"/>
        </w:rPr>
        <w:t xml:space="preserve">   • Preserve NR compatibility and MRSS coexistence.</w:t>
      </w:r>
    </w:p>
    <w:p w14:paraId="465B7300" w14:textId="25A5E586" w:rsidR="006408C6" w:rsidRPr="00B036E0" w:rsidRDefault="006408C6" w:rsidP="00A04255">
      <w:pPr>
        <w:rPr>
          <w:lang w:val="en-US" w:eastAsia="zh-CN"/>
        </w:rPr>
      </w:pPr>
      <w:r w:rsidRPr="00B036E0">
        <w:rPr>
          <w:lang w:val="en-US" w:eastAsia="zh-CN"/>
        </w:rPr>
        <w:t xml:space="preserve">   • Integrate low-PAPR enhancements only </w:t>
      </w:r>
      <w:proofErr w:type="gramStart"/>
      <w:r w:rsidRPr="00B036E0">
        <w:rPr>
          <w:lang w:val="en-US" w:eastAsia="zh-CN"/>
        </w:rPr>
        <w:t>where</w:t>
      </w:r>
      <w:proofErr w:type="gramEnd"/>
      <w:r w:rsidRPr="00B036E0">
        <w:rPr>
          <w:lang w:val="en-US" w:eastAsia="zh-CN"/>
        </w:rPr>
        <w:t xml:space="preserve"> beneficial.</w:t>
      </w:r>
    </w:p>
    <w:p w14:paraId="3D5790F4" w14:textId="07585ADD" w:rsidR="006408C6" w:rsidRPr="00B036E0" w:rsidRDefault="006408C6" w:rsidP="00A04255">
      <w:pPr>
        <w:rPr>
          <w:lang w:val="en-US" w:eastAsia="zh-CN"/>
        </w:rPr>
      </w:pPr>
      <w:r w:rsidRPr="00B036E0">
        <w:rPr>
          <w:lang w:val="en-US" w:eastAsia="zh-CN"/>
        </w:rPr>
        <w:t xml:space="preserve">   • Support wake-up and NTN use cases without introducing multiple baselines.</w:t>
      </w:r>
    </w:p>
    <w:p w14:paraId="48E2A6C9" w14:textId="486100A0" w:rsidR="006408C6" w:rsidRPr="00B036E0" w:rsidRDefault="006408C6" w:rsidP="00A04255">
      <w:pPr>
        <w:rPr>
          <w:lang w:val="en-US" w:eastAsia="zh-CN"/>
        </w:rPr>
      </w:pPr>
      <w:r w:rsidRPr="00B036E0">
        <w:rPr>
          <w:lang w:val="en-US" w:eastAsia="zh-CN"/>
        </w:rPr>
        <w:t xml:space="preserve">   • Remain sensing-ready; sensing-specific waveform studies are postponed to Agenda Item 11.14 (starting RAN1#124bis).</w:t>
      </w:r>
    </w:p>
    <w:p w14:paraId="17D7BDE6" w14:textId="5EEC85E5" w:rsidR="002F6CCE" w:rsidRPr="00B036E0" w:rsidRDefault="00085A2D" w:rsidP="572F0BC0">
      <w:pPr>
        <w:pStyle w:val="Heading1"/>
        <w:rPr>
          <w:szCs w:val="36"/>
          <w:lang w:val="en-US"/>
        </w:rPr>
      </w:pPr>
      <w:bookmarkStart w:id="23" w:name="_Toc213409726"/>
      <w:r w:rsidRPr="00B036E0">
        <w:rPr>
          <w:lang w:val="en-US"/>
        </w:rPr>
        <w:t>Conclusion</w:t>
      </w:r>
      <w:bookmarkEnd w:id="23"/>
    </w:p>
    <w:p w14:paraId="7DE8E7C9" w14:textId="55BDC248" w:rsidR="00594845" w:rsidRPr="00B036E0" w:rsidRDefault="00AA179B" w:rsidP="00881DFB">
      <w:pPr>
        <w:rPr>
          <w:lang w:val="en-US"/>
        </w:rPr>
      </w:pPr>
      <w:r w:rsidRPr="00B036E0">
        <w:rPr>
          <w:lang w:val="en-US"/>
        </w:rPr>
        <w:t>In conclusion, the following proposals are provided for consideration in the study of the 6G Air Interface:</w:t>
      </w:r>
    </w:p>
    <w:p w14:paraId="5CD1FE27" w14:textId="2F98CC8A" w:rsidR="007B1842" w:rsidRPr="00B036E0" w:rsidRDefault="007D7245" w:rsidP="00473D01">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lastRenderedPageBreak/>
        <w:t>Support all options for further research, while prioritizing Option 2 to achieve a better synchronization signal design across diverse device types.</w:t>
      </w:r>
    </w:p>
    <w:p w14:paraId="0B7FADC8" w14:textId="5B7ADEFE" w:rsidR="007D7245" w:rsidRPr="00B036E0" w:rsidRDefault="007D7245" w:rsidP="00473D01">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 xml:space="preserve">SSB transmissions with higher periodicities (e.g., 80 </w:t>
      </w:r>
      <w:proofErr w:type="spellStart"/>
      <w:r w:rsidRPr="00B036E0">
        <w:rPr>
          <w:b/>
          <w:bCs/>
          <w:i/>
          <w:iCs/>
          <w:sz w:val="20"/>
          <w:szCs w:val="20"/>
          <w:lang w:val="en-US"/>
        </w:rPr>
        <w:t>ms</w:t>
      </w:r>
      <w:proofErr w:type="spellEnd"/>
      <w:r w:rsidRPr="00B036E0">
        <w:rPr>
          <w:b/>
          <w:bCs/>
          <w:i/>
          <w:iCs/>
          <w:sz w:val="20"/>
          <w:szCs w:val="20"/>
          <w:lang w:val="en-US"/>
        </w:rPr>
        <w:t xml:space="preserve">, 160 </w:t>
      </w:r>
      <w:proofErr w:type="spellStart"/>
      <w:r w:rsidRPr="00B036E0">
        <w:rPr>
          <w:b/>
          <w:bCs/>
          <w:i/>
          <w:iCs/>
          <w:sz w:val="20"/>
          <w:szCs w:val="20"/>
          <w:lang w:val="en-US"/>
        </w:rPr>
        <w:t>ms</w:t>
      </w:r>
      <w:proofErr w:type="spellEnd"/>
      <w:r w:rsidRPr="00B036E0">
        <w:rPr>
          <w:b/>
          <w:bCs/>
          <w:i/>
          <w:iCs/>
          <w:sz w:val="20"/>
          <w:szCs w:val="20"/>
          <w:lang w:val="en-US"/>
        </w:rPr>
        <w:t>) should be considered to enhance network energy efficiency and enable deeper network sleep modes.</w:t>
      </w:r>
    </w:p>
    <w:p w14:paraId="2560B61C" w14:textId="77777777" w:rsidR="007D7245" w:rsidRPr="00B036E0" w:rsidRDefault="007D7245" w:rsidP="00473D01">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Consider SSB repetitions within each transmission period to improve SSB detection performance and reduce initial access latency, especially for UEs in poor channel conditions.</w:t>
      </w:r>
    </w:p>
    <w:p w14:paraId="43B9E616" w14:textId="77777777" w:rsidR="007D7245" w:rsidRPr="00B036E0" w:rsidRDefault="007D7245" w:rsidP="00473D01">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6GR should consider a coarser synchronization raster than 5G NR to reduce UE search complexity and initial access latency.</w:t>
      </w:r>
    </w:p>
    <w:p w14:paraId="1DF7FA2A" w14:textId="77777777" w:rsidR="007D7245" w:rsidRPr="00B036E0" w:rsidRDefault="007D7245" w:rsidP="00473D01">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Study scalable SSB designs to support diverse device types and ensure detection performance at least equivalent to 5G NR, leveraging time-domain techniques (e.g., repetition) where necessary.</w:t>
      </w:r>
    </w:p>
    <w:p w14:paraId="22E75517" w14:textId="77777777" w:rsidR="007D7245" w:rsidRPr="00B036E0" w:rsidRDefault="007D7245" w:rsidP="00473D01">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Study the feasibility of applying simplified or predictive advanced techniques (e.g., AI-assisted or cooperative detection) to enhance SSB and initial access performance without increasing complexity.</w:t>
      </w:r>
    </w:p>
    <w:p w14:paraId="38015E7E" w14:textId="77777777" w:rsidR="007D7245" w:rsidRPr="00B036E0" w:rsidRDefault="007D7245" w:rsidP="00473D01">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Consider distinguishing these two deployment cases when evaluating MRSS operation.</w:t>
      </w:r>
    </w:p>
    <w:p w14:paraId="637EF565" w14:textId="77777777" w:rsidR="007D7245" w:rsidRPr="00B036E0" w:rsidRDefault="007D7245" w:rsidP="00473D01">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Study MRSS operation under the assumption of synchronized UL/DL direction between NR and 6GR to ensure coexistence without additional interference management burden.</w:t>
      </w:r>
    </w:p>
    <w:p w14:paraId="502F05EA" w14:textId="77777777" w:rsidR="007D7245" w:rsidRPr="00B036E0" w:rsidRDefault="007D7245" w:rsidP="00473D01">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Study assistive NR-to-6G mechanisms under co-located conditions and define limits on dual-RAT monitoring to ensure that 6G remains self-sufficient while quantifying potential reductions in RS overhead and UE power consumption.</w:t>
      </w:r>
    </w:p>
    <w:p w14:paraId="4797AEA3" w14:textId="71F661CA" w:rsidR="007D7245" w:rsidRPr="00B036E0" w:rsidRDefault="007D7245" w:rsidP="00473D01">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 xml:space="preserve">Study UL/DL-decoupled BWP operation for 6GR, focusing on the trade-off between flexibility, channel-estimation overhead, and RF </w:t>
      </w:r>
      <w:proofErr w:type="gramStart"/>
      <w:r w:rsidRPr="00B036E0">
        <w:rPr>
          <w:b/>
          <w:bCs/>
          <w:i/>
          <w:iCs/>
          <w:sz w:val="20"/>
          <w:szCs w:val="20"/>
          <w:lang w:val="en-US"/>
        </w:rPr>
        <w:t>retuning</w:t>
      </w:r>
      <w:proofErr w:type="gramEnd"/>
      <w:r w:rsidRPr="00B036E0">
        <w:rPr>
          <w:b/>
          <w:bCs/>
          <w:i/>
          <w:iCs/>
          <w:sz w:val="20"/>
          <w:szCs w:val="20"/>
          <w:lang w:val="en-US"/>
        </w:rPr>
        <w:t xml:space="preserve"> feasibility, and to coordinate early with RAN4 on corresponding UE RF and timing requirements.</w:t>
      </w:r>
    </w:p>
    <w:p w14:paraId="280BFD2E" w14:textId="77777777" w:rsidR="006408C6" w:rsidRPr="00B036E0" w:rsidRDefault="006408C6" w:rsidP="006408C6">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CP-OFDM should remain the baseline downlink waveform for 6G, complemented by modular multi-domain processing to enhance coverage, Doppler robustness, and sensing while maintaining backward compatibility.</w:t>
      </w:r>
    </w:p>
    <w:p w14:paraId="78CA2857" w14:textId="77777777" w:rsidR="006408C6" w:rsidRPr="00B036E0" w:rsidRDefault="006408C6" w:rsidP="006408C6">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 xml:space="preserve">DFT-s-OFDM should remain the uplink baseline for coverage-limited scenarios, complemented with </w:t>
      </w:r>
      <w:proofErr w:type="spellStart"/>
      <w:r w:rsidRPr="00B036E0">
        <w:rPr>
          <w:b/>
          <w:bCs/>
          <w:i/>
          <w:iCs/>
          <w:sz w:val="20"/>
          <w:szCs w:val="20"/>
          <w:lang w:val="en-US"/>
        </w:rPr>
        <w:t>beamspace</w:t>
      </w:r>
      <w:proofErr w:type="spellEnd"/>
      <w:r w:rsidRPr="00B036E0">
        <w:rPr>
          <w:b/>
          <w:bCs/>
          <w:i/>
          <w:iCs/>
          <w:sz w:val="20"/>
          <w:szCs w:val="20"/>
          <w:lang w:val="en-US"/>
        </w:rPr>
        <w:t xml:space="preserve"> (wavenumber-domain) processing to enable efficient operation with large antenna arrays.</w:t>
      </w:r>
    </w:p>
    <w:p w14:paraId="7E7A7A6D" w14:textId="77777777" w:rsidR="006408C6" w:rsidRPr="00B036E0" w:rsidRDefault="006408C6" w:rsidP="006408C6">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 xml:space="preserve">When extending DFT-s-OFDM toward multi-layer MIMO, early 6G studies should focus on rank-2 transmission as a practical starting point. Beyond </w:t>
      </w:r>
      <w:proofErr w:type="gramStart"/>
      <w:r w:rsidRPr="00B036E0">
        <w:rPr>
          <w:b/>
          <w:bCs/>
          <w:i/>
          <w:iCs/>
          <w:sz w:val="20"/>
          <w:szCs w:val="20"/>
          <w:lang w:val="en-US"/>
        </w:rPr>
        <w:t>two</w:t>
      </w:r>
      <w:proofErr w:type="gramEnd"/>
      <w:r w:rsidRPr="00B036E0">
        <w:rPr>
          <w:b/>
          <w:bCs/>
          <w:i/>
          <w:iCs/>
          <w:sz w:val="20"/>
          <w:szCs w:val="20"/>
          <w:lang w:val="en-US"/>
        </w:rPr>
        <w:t xml:space="preserve"> layers, receiver complexity and waveform orthogonality may degrade, particularly when spectrum-shaping (e.g. FDSS) is applied. FDSS introduces per-layer dependencies that can disturb layer orthogonality. The study should evaluate rank scalability jointly with low-PAPR methods.</w:t>
      </w:r>
    </w:p>
    <w:p w14:paraId="6D3C2E5F" w14:textId="77777777" w:rsidR="006408C6" w:rsidRPr="00B036E0" w:rsidRDefault="006408C6" w:rsidP="006408C6">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Extend DMRS to multi-domain processing, projecting pilots into delay–Doppler and affine domains for richer CSI and improved sensing accuracy.</w:t>
      </w:r>
    </w:p>
    <w:p w14:paraId="7D04ABB8" w14:textId="77777777" w:rsidR="006408C6" w:rsidRPr="00B036E0" w:rsidRDefault="006408C6" w:rsidP="006408C6">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For each application scenario (e.g. low-power IoT, coverage-limited communications), the study should evaluate appropriate PAPR-reduction schemes such as data-driven precoding, flexible sub-carrier spacing, and probabilistic or geometric constellation shaping, without committing to a single numerical gain at this stage.</w:t>
      </w:r>
    </w:p>
    <w:p w14:paraId="575F6A37" w14:textId="77777777" w:rsidR="006408C6" w:rsidRPr="00B036E0" w:rsidRDefault="006408C6" w:rsidP="006408C6">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Adopt a multi-domain precoding framework (e.g. delay–Doppler or affine domains) prior to OFDM mapping to enhance robustness, exploit channel sparsity, and facilitate joint communication and sensing while preserving OFDM compatibility.</w:t>
      </w:r>
    </w:p>
    <w:p w14:paraId="027AACEE" w14:textId="77777777" w:rsidR="006408C6" w:rsidRPr="00B036E0" w:rsidRDefault="006408C6" w:rsidP="006408C6">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For Non-Terrestrial Networks, DL DFT-s-OFDM should be investigated as a potential additional waveform for common and control channels such as SIB1, Msg 4, and CSS PDCCH. The study should examine its performance under high-Doppler and GNSS-free conditions, evaluate appropriate numerology adaptations, and consider simple frequency-offset compensation or pre-distortion schemes to maintain link stability in NTN and HAPS scenarios.</w:t>
      </w:r>
    </w:p>
    <w:p w14:paraId="7AF292A0" w14:textId="77777777" w:rsidR="006408C6" w:rsidRPr="00B036E0" w:rsidRDefault="006408C6" w:rsidP="006408C6">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Introduce flexible time-domain OFDM framing embedding simple OOK or low-rate structures for wake-up signaling and ambient IoT coexistence without disrupting legacy receivers.</w:t>
      </w:r>
    </w:p>
    <w:p w14:paraId="7579D80C" w14:textId="77777777" w:rsidR="006408C6" w:rsidRPr="00B036E0" w:rsidRDefault="006408C6" w:rsidP="006408C6">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lastRenderedPageBreak/>
        <w:t xml:space="preserve">OOK-based DFT-s-OFDM precoding is a feasible approach for low-power wake-up signaling. The study should verify robustness under fading and Doppler conditions. Use of higher-order OOK formats to embed additional bits may be considered FFS subject to reliability evaluation. Adaptive thresholds and optional short DMRS tones can be explored to ensure </w:t>
      </w:r>
      <w:proofErr w:type="gramStart"/>
      <w:r w:rsidRPr="00B036E0">
        <w:rPr>
          <w:b/>
          <w:bCs/>
          <w:i/>
          <w:iCs/>
          <w:sz w:val="20"/>
          <w:szCs w:val="20"/>
          <w:lang w:val="en-US"/>
        </w:rPr>
        <w:t>reliable</w:t>
      </w:r>
      <w:proofErr w:type="gramEnd"/>
      <w:r w:rsidRPr="00B036E0">
        <w:rPr>
          <w:b/>
          <w:bCs/>
          <w:i/>
          <w:iCs/>
          <w:sz w:val="20"/>
          <w:szCs w:val="20"/>
          <w:lang w:val="en-US"/>
        </w:rPr>
        <w:t xml:space="preserve"> transition from sleep to connected state.</w:t>
      </w:r>
    </w:p>
    <w:p w14:paraId="02BF59D2" w14:textId="77777777" w:rsidR="006408C6" w:rsidRPr="00B036E0" w:rsidRDefault="006408C6" w:rsidP="006408C6">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Study waveform-domain NOMA, separating users and functionalities in logical domains to support asynchronous multiplexing and in-band coexistence of communication and sensing.</w:t>
      </w:r>
    </w:p>
    <w:p w14:paraId="723A2A5F" w14:textId="4F2A751B" w:rsidR="006408C6" w:rsidRPr="00B036E0" w:rsidRDefault="006408C6" w:rsidP="006408C6">
      <w:pPr>
        <w:pStyle w:val="ListParagraph"/>
        <w:numPr>
          <w:ilvl w:val="0"/>
          <w:numId w:val="34"/>
        </w:numPr>
        <w:spacing w:after="180"/>
        <w:ind w:left="0" w:firstLine="0"/>
        <w:contextualSpacing w:val="0"/>
        <w:rPr>
          <w:b/>
          <w:bCs/>
          <w:i/>
          <w:iCs/>
          <w:sz w:val="20"/>
          <w:szCs w:val="20"/>
          <w:lang w:val="en-US"/>
        </w:rPr>
      </w:pPr>
      <w:r w:rsidRPr="00B036E0">
        <w:rPr>
          <w:b/>
          <w:bCs/>
          <w:i/>
          <w:iCs/>
          <w:sz w:val="20"/>
          <w:szCs w:val="20"/>
          <w:lang w:val="en-US"/>
        </w:rPr>
        <w:t>Use the Net-Gain evaluation approach and coordinate with RAN4 for PA models and RF parameters. Include MRSS compatibility, spectral-efficiency impact, and complexity as part of the evaluation framework.</w:t>
      </w:r>
    </w:p>
    <w:bookmarkStart w:id="24" w:name="_Toc213409727" w:displacedByCustomXml="next"/>
    <w:sdt>
      <w:sdtPr>
        <w:rPr>
          <w:rFonts w:ascii="Times New Roman" w:hAnsi="Times New Roman"/>
          <w:sz w:val="20"/>
          <w:lang w:val="en-US"/>
        </w:rPr>
        <w:id w:val="1335958490"/>
        <w:docPartObj>
          <w:docPartGallery w:val="Bibliographies"/>
          <w:docPartUnique/>
        </w:docPartObj>
      </w:sdtPr>
      <w:sdtEndPr/>
      <w:sdtContent>
        <w:p w14:paraId="54999F32" w14:textId="581B3BC4" w:rsidR="00F82381" w:rsidRPr="00B036E0" w:rsidRDefault="00F82381" w:rsidP="00472303">
          <w:pPr>
            <w:pStyle w:val="Heading1"/>
            <w:spacing w:after="0"/>
            <w:rPr>
              <w:lang w:val="en-US"/>
            </w:rPr>
          </w:pPr>
          <w:r w:rsidRPr="00B036E0">
            <w:rPr>
              <w:lang w:val="en-US"/>
            </w:rPr>
            <w:t>References</w:t>
          </w:r>
          <w:bookmarkEnd w:id="24"/>
        </w:p>
        <w:sdt>
          <w:sdtPr>
            <w:rPr>
              <w:lang w:val="en-US"/>
            </w:rPr>
            <w:id w:val="-573587230"/>
            <w:bibliography/>
          </w:sdtPr>
          <w:sdtEndPr/>
          <w:sdtContent>
            <w:p w14:paraId="5097A51C" w14:textId="77777777" w:rsidR="007E07C0" w:rsidRPr="00B036E0" w:rsidRDefault="00F82381" w:rsidP="00881DFB">
              <w:pPr>
                <w:rPr>
                  <w:rFonts w:ascii="CG Times (WN)" w:hAnsi="CG Times (WN)"/>
                  <w:noProof/>
                  <w:lang w:val="en-US"/>
                </w:rPr>
              </w:pPr>
              <w:r w:rsidRPr="00B036E0">
                <w:rPr>
                  <w:lang w:val="en-US"/>
                </w:rPr>
                <w:fldChar w:fldCharType="begin"/>
              </w:r>
              <w:r w:rsidRPr="00B036E0">
                <w:rPr>
                  <w:lang w:val="en-US"/>
                </w:rPr>
                <w:instrText xml:space="preserve"> BIBLIOGRAPHY </w:instrText>
              </w:r>
              <w:r w:rsidRPr="00B036E0">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7E07C0" w:rsidRPr="00B036E0" w14:paraId="4DBCAB4C" w14:textId="77777777">
                <w:trPr>
                  <w:divId w:val="1853102545"/>
                  <w:tblCellSpacing w:w="15" w:type="dxa"/>
                </w:trPr>
                <w:tc>
                  <w:tcPr>
                    <w:tcW w:w="50" w:type="pct"/>
                    <w:hideMark/>
                  </w:tcPr>
                  <w:p w14:paraId="04F21684" w14:textId="607055C7" w:rsidR="007E07C0" w:rsidRPr="00B036E0" w:rsidRDefault="007E07C0">
                    <w:pPr>
                      <w:pStyle w:val="Bibliography"/>
                      <w:rPr>
                        <w:noProof/>
                        <w:sz w:val="24"/>
                        <w:szCs w:val="24"/>
                        <w:lang w:val="en-US"/>
                      </w:rPr>
                    </w:pPr>
                    <w:r w:rsidRPr="00B036E0">
                      <w:rPr>
                        <w:noProof/>
                        <w:lang w:val="en-US"/>
                      </w:rPr>
                      <w:t xml:space="preserve">[1] </w:t>
                    </w:r>
                  </w:p>
                </w:tc>
                <w:tc>
                  <w:tcPr>
                    <w:tcW w:w="0" w:type="auto"/>
                    <w:hideMark/>
                  </w:tcPr>
                  <w:p w14:paraId="56567468" w14:textId="77777777" w:rsidR="007E07C0" w:rsidRPr="00B036E0" w:rsidRDefault="007E07C0">
                    <w:pPr>
                      <w:pStyle w:val="Bibliography"/>
                      <w:rPr>
                        <w:noProof/>
                        <w:lang w:val="en-US"/>
                      </w:rPr>
                    </w:pPr>
                    <w:r w:rsidRPr="00B036E0">
                      <w:rPr>
                        <w:noProof/>
                        <w:lang w:val="en-US"/>
                      </w:rPr>
                      <w:t>3GPP, "FL summary#5 on overview of 6GR air interface".</w:t>
                    </w:r>
                  </w:p>
                </w:tc>
              </w:tr>
            </w:tbl>
            <w:p w14:paraId="7D7AAB17" w14:textId="7BA61A39" w:rsidR="00594845" w:rsidRPr="00B036E0" w:rsidRDefault="00F82381" w:rsidP="00881DFB">
              <w:pPr>
                <w:rPr>
                  <w:lang w:val="en-US"/>
                </w:rPr>
              </w:pPr>
              <w:r w:rsidRPr="00B036E0">
                <w:rPr>
                  <w:b/>
                  <w:bCs/>
                  <w:noProof/>
                  <w:lang w:val="en-US"/>
                </w:rPr>
                <w:fldChar w:fldCharType="end"/>
              </w:r>
            </w:p>
          </w:sdtContent>
        </w:sdt>
      </w:sdtContent>
    </w:sdt>
    <w:sectPr w:rsidR="00594845" w:rsidRPr="00B036E0"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516E9" w14:textId="77777777" w:rsidR="00D47B77" w:rsidRDefault="00D47B77" w:rsidP="00881DFB">
      <w:r>
        <w:separator/>
      </w:r>
    </w:p>
  </w:endnote>
  <w:endnote w:type="continuationSeparator" w:id="0">
    <w:p w14:paraId="09A47E44" w14:textId="77777777" w:rsidR="00D47B77" w:rsidRDefault="00D47B77" w:rsidP="00881DFB">
      <w:r>
        <w:continuationSeparator/>
      </w:r>
    </w:p>
  </w:endnote>
  <w:endnote w:type="continuationNotice" w:id="1">
    <w:p w14:paraId="5D1BDBE0" w14:textId="77777777" w:rsidR="00D47B77" w:rsidRDefault="00D47B77"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BD35C" w14:textId="77777777" w:rsidR="00D47B77" w:rsidRDefault="00D47B77" w:rsidP="00881DFB">
      <w:r>
        <w:separator/>
      </w:r>
    </w:p>
  </w:footnote>
  <w:footnote w:type="continuationSeparator" w:id="0">
    <w:p w14:paraId="3FEA99CD" w14:textId="77777777" w:rsidR="00D47B77" w:rsidRDefault="00D47B77" w:rsidP="00881DFB">
      <w:r>
        <w:continuationSeparator/>
      </w:r>
    </w:p>
  </w:footnote>
  <w:footnote w:type="continuationNotice" w:id="1">
    <w:p w14:paraId="7A3BBFAE" w14:textId="77777777" w:rsidR="00D47B77" w:rsidRDefault="00D47B77"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1AF1"/>
    <w:multiLevelType w:val="hybridMultilevel"/>
    <w:tmpl w:val="AA90FF9C"/>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61383"/>
    <w:multiLevelType w:val="multilevel"/>
    <w:tmpl w:val="592A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2552D"/>
    <w:multiLevelType w:val="hybridMultilevel"/>
    <w:tmpl w:val="D0782E5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17484A7E"/>
    <w:multiLevelType w:val="hybridMultilevel"/>
    <w:tmpl w:val="F514CB96"/>
    <w:lvl w:ilvl="0" w:tplc="3968B18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F1868"/>
    <w:multiLevelType w:val="multilevel"/>
    <w:tmpl w:val="8BE418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000000" w:themeColor="text1"/>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0C10795"/>
    <w:multiLevelType w:val="hybridMultilevel"/>
    <w:tmpl w:val="395042E2"/>
    <w:lvl w:ilvl="0" w:tplc="A3162E3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BF3915"/>
    <w:multiLevelType w:val="hybridMultilevel"/>
    <w:tmpl w:val="B98600E6"/>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97613B5"/>
    <w:multiLevelType w:val="multilevel"/>
    <w:tmpl w:val="5C6E6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DB03CE3"/>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E9109F3"/>
    <w:multiLevelType w:val="hybridMultilevel"/>
    <w:tmpl w:val="B546BB9A"/>
    <w:lvl w:ilvl="0" w:tplc="0D7E016C">
      <w:start w:val="202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40728"/>
    <w:multiLevelType w:val="hybridMultilevel"/>
    <w:tmpl w:val="93B4050A"/>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6256E"/>
    <w:multiLevelType w:val="hybridMultilevel"/>
    <w:tmpl w:val="B98600E6"/>
    <w:lvl w:ilvl="0" w:tplc="63A05C88">
      <w:start w:val="1"/>
      <w:numFmt w:val="decimal"/>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5E5F95"/>
    <w:multiLevelType w:val="hybridMultilevel"/>
    <w:tmpl w:val="32EA9206"/>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C10C2"/>
    <w:multiLevelType w:val="multilevel"/>
    <w:tmpl w:val="CF489830"/>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B587F5B"/>
    <w:multiLevelType w:val="hybridMultilevel"/>
    <w:tmpl w:val="5596DD1C"/>
    <w:lvl w:ilvl="0" w:tplc="0D7E016C">
      <w:start w:val="202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8C57C5"/>
    <w:multiLevelType w:val="multilevel"/>
    <w:tmpl w:val="C148A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3E92436"/>
    <w:multiLevelType w:val="hybridMultilevel"/>
    <w:tmpl w:val="B98600E6"/>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731026E"/>
    <w:multiLevelType w:val="hybridMultilevel"/>
    <w:tmpl w:val="B002B25A"/>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861D56"/>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96269A9"/>
    <w:multiLevelType w:val="multilevel"/>
    <w:tmpl w:val="8B8CF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1961443">
    <w:abstractNumId w:val="7"/>
  </w:num>
  <w:num w:numId="2" w16cid:durableId="357124585">
    <w:abstractNumId w:val="10"/>
  </w:num>
  <w:num w:numId="3" w16cid:durableId="1559780918">
    <w:abstractNumId w:val="2"/>
  </w:num>
  <w:num w:numId="4" w16cid:durableId="1547567976">
    <w:abstractNumId w:val="9"/>
  </w:num>
  <w:num w:numId="5" w16cid:durableId="603458677">
    <w:abstractNumId w:val="5"/>
  </w:num>
  <w:num w:numId="6" w16cid:durableId="1591767748">
    <w:abstractNumId w:val="3"/>
  </w:num>
  <w:num w:numId="7" w16cid:durableId="1037001701">
    <w:abstractNumId w:val="6"/>
  </w:num>
  <w:num w:numId="8" w16cid:durableId="689600195">
    <w:abstractNumId w:val="21"/>
  </w:num>
  <w:num w:numId="9" w16cid:durableId="1409838238">
    <w:abstractNumId w:val="16"/>
  </w:num>
  <w:num w:numId="10" w16cid:durableId="1434979153">
    <w:abstractNumId w:val="18"/>
  </w:num>
  <w:num w:numId="11" w16cid:durableId="1233657262">
    <w:abstractNumId w:val="19"/>
  </w:num>
  <w:num w:numId="12" w16cid:durableId="1104350790">
    <w:abstractNumId w:val="17"/>
  </w:num>
  <w:num w:numId="13" w16cid:durableId="1165705449">
    <w:abstractNumId w:val="25"/>
  </w:num>
  <w:num w:numId="14" w16cid:durableId="570121862">
    <w:abstractNumId w:val="4"/>
  </w:num>
  <w:num w:numId="15" w16cid:durableId="1327395575">
    <w:abstractNumId w:val="8"/>
  </w:num>
  <w:num w:numId="16" w16cid:durableId="1295058755">
    <w:abstractNumId w:val="7"/>
  </w:num>
  <w:num w:numId="17" w16cid:durableId="1392268492">
    <w:abstractNumId w:val="27"/>
  </w:num>
  <w:num w:numId="18" w16cid:durableId="1272862046">
    <w:abstractNumId w:val="22"/>
  </w:num>
  <w:num w:numId="19" w16cid:durableId="1356151391">
    <w:abstractNumId w:val="12"/>
  </w:num>
  <w:num w:numId="20" w16cid:durableId="1401751846">
    <w:abstractNumId w:val="1"/>
  </w:num>
  <w:num w:numId="21" w16cid:durableId="566572957">
    <w:abstractNumId w:val="15"/>
  </w:num>
  <w:num w:numId="22" w16cid:durableId="715276663">
    <w:abstractNumId w:val="26"/>
  </w:num>
  <w:num w:numId="23" w16cid:durableId="965431547">
    <w:abstractNumId w:val="0"/>
  </w:num>
  <w:num w:numId="24" w16cid:durableId="1967805987">
    <w:abstractNumId w:val="7"/>
  </w:num>
  <w:num w:numId="25" w16cid:durableId="2110463121">
    <w:abstractNumId w:val="20"/>
  </w:num>
  <w:num w:numId="26" w16cid:durableId="881405093">
    <w:abstractNumId w:val="23"/>
  </w:num>
  <w:num w:numId="27" w16cid:durableId="1488861759">
    <w:abstractNumId w:val="7"/>
  </w:num>
  <w:num w:numId="28" w16cid:durableId="836115640">
    <w:abstractNumId w:val="7"/>
  </w:num>
  <w:num w:numId="29" w16cid:durableId="1056005575">
    <w:abstractNumId w:val="7"/>
  </w:num>
  <w:num w:numId="30" w16cid:durableId="1781139526">
    <w:abstractNumId w:val="7"/>
  </w:num>
  <w:num w:numId="31" w16cid:durableId="1406689047">
    <w:abstractNumId w:val="13"/>
  </w:num>
  <w:num w:numId="32" w16cid:durableId="1664157695">
    <w:abstractNumId w:val="24"/>
  </w:num>
  <w:num w:numId="33" w16cid:durableId="1877885326">
    <w:abstractNumId w:val="7"/>
  </w:num>
  <w:num w:numId="34" w16cid:durableId="193152157">
    <w:abstractNumId w:val="11"/>
  </w:num>
  <w:num w:numId="35" w16cid:durableId="782072920">
    <w:abstractNumId w:val="7"/>
  </w:num>
  <w:num w:numId="36" w16cid:durableId="1654217046">
    <w:abstractNumId w:val="7"/>
  </w:num>
  <w:num w:numId="37" w16cid:durableId="1580358743">
    <w:abstractNumId w:val="7"/>
  </w:num>
  <w:num w:numId="38" w16cid:durableId="221866521">
    <w:abstractNumId w:val="7"/>
  </w:num>
  <w:num w:numId="39" w16cid:durableId="1962765893">
    <w:abstractNumId w:val="7"/>
  </w:num>
  <w:num w:numId="40" w16cid:durableId="274292161">
    <w:abstractNumId w:val="7"/>
  </w:num>
  <w:num w:numId="41" w16cid:durableId="43386910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AAC"/>
    <w:rsid w:val="002E4AF5"/>
    <w:rsid w:val="002E4BCD"/>
    <w:rsid w:val="002E53B1"/>
    <w:rsid w:val="002E53DE"/>
    <w:rsid w:val="002E563B"/>
    <w:rsid w:val="002E58FA"/>
    <w:rsid w:val="002E5D38"/>
    <w:rsid w:val="002E5F12"/>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39D"/>
    <w:rsid w:val="00377410"/>
    <w:rsid w:val="0037751C"/>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BC9"/>
    <w:rsid w:val="00403DC8"/>
    <w:rsid w:val="00403DFA"/>
    <w:rsid w:val="00403F72"/>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947"/>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CBE"/>
    <w:rsid w:val="009B5D7B"/>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56F"/>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textAlignment w:val="auto"/>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qFormat/>
    <w:rsid w:val="005E0955"/>
    <w:pPr>
      <w:numPr>
        <w:numId w:val="5"/>
      </w:numPr>
      <w:contextualSpacing/>
    </w:pPr>
    <w:rPr>
      <w:i/>
      <w:lang w:val="en-US"/>
    </w:rPr>
  </w:style>
  <w:style w:type="character" w:customStyle="1" w:styleId="ProposalChar">
    <w:name w:val="Proposal Char"/>
    <w:basedOn w:val="DefaultParagraphFont"/>
    <w:link w:val="Proposal"/>
    <w:qFormat/>
    <w:rsid w:val="007450D5"/>
    <w:rPr>
      <w:rFonts w:ascii="Times New Roman" w:hAnsi="Times New Roman"/>
      <w:i/>
    </w:rPr>
  </w:style>
  <w:style w:type="paragraph" w:customStyle="1" w:styleId="Observation">
    <w:name w:val="Observation"/>
    <w:basedOn w:val="Proposal"/>
    <w:next w:val="Normal"/>
    <w:link w:val="ObservationChar"/>
    <w:qFormat/>
    <w:rsid w:val="005E0955"/>
    <w:pPr>
      <w:numPr>
        <w:numId w:val="7"/>
      </w:numPr>
    </w:pPr>
  </w:style>
  <w:style w:type="character" w:customStyle="1" w:styleId="ObservationChar">
    <w:name w:val="Observation Char"/>
    <w:basedOn w:val="ProposalChar"/>
    <w:link w:val="Observation"/>
    <w:rsid w:val="00FF2462"/>
    <w:rPr>
      <w:rFonts w:ascii="Times New Roman" w:hAnsi="Times New Roman"/>
      <w:i/>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701b467fbcefa65fb93e38cda3f45c30">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4d00c8fc2f2347433a92c1330a84095f"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3GP1</b:Tag>
    <b:SourceType>Report</b:SourceType>
    <b:Guid>{9B27137A-CFBF-45A3-BE94-E2BC2F9FF898}</b:Guid>
    <b:Author>
      <b:Author>
        <b:NameList>
          <b:Person>
            <b:Last>3GPP</b:Last>
          </b:Person>
        </b:NameList>
      </b:Author>
    </b:Author>
    <b:Title>FL summary#5 on overview of 6GR air interface</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e06d1f6a-4bf1-4889-ba32-28aacdd2429f"/>
    <ds:schemaRef ds:uri="http://purl.org/dc/dcmitype/"/>
    <ds:schemaRef ds:uri="http://www.w3.org/XML/1998/namespace"/>
    <ds:schemaRef ds:uri="http://schemas.microsoft.com/office/2006/metadata/properties"/>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8ba16c48-bd15-4ee5-a6df-cc23d575d38b"/>
  </ds:schemaRefs>
</ds:datastoreItem>
</file>

<file path=customXml/itemProps2.xml><?xml version="1.0" encoding="utf-8"?>
<ds:datastoreItem xmlns:ds="http://schemas.openxmlformats.org/officeDocument/2006/customXml" ds:itemID="{B76F2D6D-3AD8-4CD2-9F63-22E40584B037}"/>
</file>

<file path=customXml/itemProps3.xml><?xml version="1.0" encoding="utf-8"?>
<ds:datastoreItem xmlns:ds="http://schemas.openxmlformats.org/officeDocument/2006/customXml" ds:itemID="{16F29D4D-1BBC-477E-94F7-EA99976F7A9A}">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73</TotalTime>
  <Pages>9</Pages>
  <Words>3773</Words>
  <Characters>23855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IMU</Company>
  <LinksUpToDate>false</LinksUpToDate>
  <CharactersWithSpaces>27573</CharactersWithSpaces>
  <SharedDoc>false</SharedDoc>
  <HLinks>
    <vt:vector size="78" baseType="variant">
      <vt:variant>
        <vt:i4>1179698</vt:i4>
      </vt:variant>
      <vt:variant>
        <vt:i4>77</vt:i4>
      </vt:variant>
      <vt:variant>
        <vt:i4>0</vt:i4>
      </vt:variant>
      <vt:variant>
        <vt:i4>5</vt:i4>
      </vt:variant>
      <vt:variant>
        <vt:lpwstr/>
      </vt:variant>
      <vt:variant>
        <vt:lpwstr>_Toc210297916</vt:lpwstr>
      </vt:variant>
      <vt:variant>
        <vt:i4>1179698</vt:i4>
      </vt:variant>
      <vt:variant>
        <vt:i4>71</vt:i4>
      </vt:variant>
      <vt:variant>
        <vt:i4>0</vt:i4>
      </vt:variant>
      <vt:variant>
        <vt:i4>5</vt:i4>
      </vt:variant>
      <vt:variant>
        <vt:lpwstr/>
      </vt:variant>
      <vt:variant>
        <vt:lpwstr>_Toc210297915</vt:lpwstr>
      </vt:variant>
      <vt:variant>
        <vt:i4>1179698</vt:i4>
      </vt:variant>
      <vt:variant>
        <vt:i4>65</vt:i4>
      </vt:variant>
      <vt:variant>
        <vt:i4>0</vt:i4>
      </vt:variant>
      <vt:variant>
        <vt:i4>5</vt:i4>
      </vt:variant>
      <vt:variant>
        <vt:lpwstr/>
      </vt:variant>
      <vt:variant>
        <vt:lpwstr>_Toc210297914</vt:lpwstr>
      </vt:variant>
      <vt:variant>
        <vt:i4>1179698</vt:i4>
      </vt:variant>
      <vt:variant>
        <vt:i4>59</vt:i4>
      </vt:variant>
      <vt:variant>
        <vt:i4>0</vt:i4>
      </vt:variant>
      <vt:variant>
        <vt:i4>5</vt:i4>
      </vt:variant>
      <vt:variant>
        <vt:lpwstr/>
      </vt:variant>
      <vt:variant>
        <vt:lpwstr>_Toc210297913</vt:lpwstr>
      </vt:variant>
      <vt:variant>
        <vt:i4>1179698</vt:i4>
      </vt:variant>
      <vt:variant>
        <vt:i4>53</vt:i4>
      </vt:variant>
      <vt:variant>
        <vt:i4>0</vt:i4>
      </vt:variant>
      <vt:variant>
        <vt:i4>5</vt:i4>
      </vt:variant>
      <vt:variant>
        <vt:lpwstr/>
      </vt:variant>
      <vt:variant>
        <vt:lpwstr>_Toc210297912</vt:lpwstr>
      </vt:variant>
      <vt:variant>
        <vt:i4>1179698</vt:i4>
      </vt:variant>
      <vt:variant>
        <vt:i4>47</vt:i4>
      </vt:variant>
      <vt:variant>
        <vt:i4>0</vt:i4>
      </vt:variant>
      <vt:variant>
        <vt:i4>5</vt:i4>
      </vt:variant>
      <vt:variant>
        <vt:lpwstr/>
      </vt:variant>
      <vt:variant>
        <vt:lpwstr>_Toc210297911</vt:lpwstr>
      </vt:variant>
      <vt:variant>
        <vt:i4>1179698</vt:i4>
      </vt:variant>
      <vt:variant>
        <vt:i4>41</vt:i4>
      </vt:variant>
      <vt:variant>
        <vt:i4>0</vt:i4>
      </vt:variant>
      <vt:variant>
        <vt:i4>5</vt:i4>
      </vt:variant>
      <vt:variant>
        <vt:lpwstr/>
      </vt:variant>
      <vt:variant>
        <vt:lpwstr>_Toc210297910</vt:lpwstr>
      </vt:variant>
      <vt:variant>
        <vt:i4>1245234</vt:i4>
      </vt:variant>
      <vt:variant>
        <vt:i4>35</vt:i4>
      </vt:variant>
      <vt:variant>
        <vt:i4>0</vt:i4>
      </vt:variant>
      <vt:variant>
        <vt:i4>5</vt:i4>
      </vt:variant>
      <vt:variant>
        <vt:lpwstr/>
      </vt:variant>
      <vt:variant>
        <vt:lpwstr>_Toc210297909</vt:lpwstr>
      </vt:variant>
      <vt:variant>
        <vt:i4>1245234</vt:i4>
      </vt:variant>
      <vt:variant>
        <vt:i4>29</vt:i4>
      </vt:variant>
      <vt:variant>
        <vt:i4>0</vt:i4>
      </vt:variant>
      <vt:variant>
        <vt:i4>5</vt:i4>
      </vt:variant>
      <vt:variant>
        <vt:lpwstr/>
      </vt:variant>
      <vt:variant>
        <vt:lpwstr>_Toc210297908</vt:lpwstr>
      </vt:variant>
      <vt:variant>
        <vt:i4>1245234</vt:i4>
      </vt:variant>
      <vt:variant>
        <vt:i4>23</vt:i4>
      </vt:variant>
      <vt:variant>
        <vt:i4>0</vt:i4>
      </vt:variant>
      <vt:variant>
        <vt:i4>5</vt:i4>
      </vt:variant>
      <vt:variant>
        <vt:lpwstr/>
      </vt:variant>
      <vt:variant>
        <vt:lpwstr>_Toc210297907</vt:lpwstr>
      </vt:variant>
      <vt:variant>
        <vt:i4>1245234</vt:i4>
      </vt:variant>
      <vt:variant>
        <vt:i4>17</vt:i4>
      </vt:variant>
      <vt:variant>
        <vt:i4>0</vt:i4>
      </vt:variant>
      <vt:variant>
        <vt:i4>5</vt:i4>
      </vt:variant>
      <vt:variant>
        <vt:lpwstr/>
      </vt:variant>
      <vt:variant>
        <vt:lpwstr>_Toc210297906</vt:lpwstr>
      </vt:variant>
      <vt:variant>
        <vt:i4>1245234</vt:i4>
      </vt:variant>
      <vt:variant>
        <vt:i4>11</vt:i4>
      </vt:variant>
      <vt:variant>
        <vt:i4>0</vt:i4>
      </vt:variant>
      <vt:variant>
        <vt:i4>5</vt:i4>
      </vt:variant>
      <vt:variant>
        <vt:lpwstr/>
      </vt:variant>
      <vt:variant>
        <vt:lpwstr>_Toc210297905</vt:lpwstr>
      </vt:variant>
      <vt:variant>
        <vt:i4>1245234</vt:i4>
      </vt:variant>
      <vt:variant>
        <vt:i4>5</vt:i4>
      </vt:variant>
      <vt:variant>
        <vt:i4>0</vt:i4>
      </vt:variant>
      <vt:variant>
        <vt:i4>5</vt:i4>
      </vt:variant>
      <vt:variant>
        <vt:lpwstr/>
      </vt:variant>
      <vt:variant>
        <vt:lpwstr>_Toc210297904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Fatih KILINÇ</cp:lastModifiedBy>
  <cp:revision>40</cp:revision>
  <cp:lastPrinted>2016-06-23T10:35:00Z</cp:lastPrinted>
  <dcterms:created xsi:type="dcterms:W3CDTF">2025-10-02T14:16:00Z</dcterms:created>
  <dcterms:modified xsi:type="dcterms:W3CDTF">2025-11-07T09:08:00Z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